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10DDA">
      <w:pPr>
        <w:pStyle w:val="12"/>
        <w:keepNext w:val="0"/>
        <w:keepLines w:val="0"/>
        <w:pageBreakBefore w:val="0"/>
        <w:widowControl w:val="0"/>
        <w:kinsoku/>
        <w:wordWrap/>
        <w:overflowPunct/>
        <w:topLinePunct/>
        <w:autoSpaceDE/>
        <w:autoSpaceDN/>
        <w:bidi w:val="0"/>
        <w:adjustRightInd/>
        <w:snapToGrid w:val="0"/>
        <w:spacing w:line="360" w:lineRule="auto"/>
        <w:ind w:firstLine="0" w:firstLineChars="0"/>
        <w:textAlignment w:val="auto"/>
        <w:rPr>
          <w:rFonts w:hint="default" w:ascii="Times New Roman" w:hAnsi="Times New Roman" w:cs="Times New Roman"/>
          <w:b/>
          <w:bCs/>
          <w:color w:val="000000" w:themeColor="text1"/>
          <w:spacing w:val="20"/>
          <w:sz w:val="48"/>
          <w:szCs w:val="48"/>
          <w:highlight w:val="none"/>
          <w:lang w:eastAsia="zh-CN"/>
          <w14:textFill>
            <w14:solidFill>
              <w14:schemeClr w14:val="tx1"/>
            </w14:solidFill>
          </w14:textFill>
        </w:rPr>
      </w:pPr>
      <w:bookmarkStart w:id="0" w:name="_Toc25081"/>
      <w:bookmarkStart w:id="1" w:name="_Toc21822"/>
      <w:bookmarkStart w:id="2" w:name="_Toc28482"/>
      <w:bookmarkStart w:id="3" w:name="_Toc420"/>
      <w:bookmarkStart w:id="4" w:name="_Toc15136"/>
      <w:bookmarkStart w:id="5" w:name="_Toc15353"/>
      <w:bookmarkStart w:id="6" w:name="_Toc20984"/>
      <w:bookmarkStart w:id="7" w:name="_Toc5186"/>
      <w:bookmarkStart w:id="8" w:name="_Toc426468292"/>
      <w:bookmarkStart w:id="9" w:name="_Toc10367"/>
      <w:r>
        <w:rPr>
          <w:rFonts w:hint="default" w:ascii="Times New Roman" w:hAnsi="Times New Roman" w:cs="Times New Roman"/>
          <w:b/>
          <w:bCs/>
          <w:color w:val="000000" w:themeColor="text1"/>
          <w:spacing w:val="20"/>
          <w:sz w:val="48"/>
          <w:szCs w:val="48"/>
          <w:highlight w:val="none"/>
          <w:lang w:eastAsia="zh-CN"/>
          <w14:textFill>
            <w14:solidFill>
              <w14:schemeClr w14:val="tx1"/>
            </w14:solidFill>
          </w14:textFill>
        </w:rPr>
        <w:t>隆化县</w:t>
      </w:r>
      <w:r>
        <w:rPr>
          <w:rFonts w:hint="eastAsia" w:ascii="Times New Roman" w:hAnsi="Times New Roman" w:cs="Times New Roman"/>
          <w:b/>
          <w:bCs/>
          <w:color w:val="000000" w:themeColor="text1"/>
          <w:spacing w:val="20"/>
          <w:sz w:val="48"/>
          <w:szCs w:val="48"/>
          <w:highlight w:val="none"/>
          <w:lang w:eastAsia="zh-CN"/>
          <w14:textFill>
            <w14:solidFill>
              <w14:schemeClr w14:val="tx1"/>
            </w14:solidFill>
          </w14:textFill>
        </w:rPr>
        <w:t>闹海营2016年三批次地块1</w:t>
      </w:r>
    </w:p>
    <w:p w14:paraId="6F70253C">
      <w:pPr>
        <w:bidi w:val="0"/>
        <w:spacing w:line="360" w:lineRule="auto"/>
        <w:ind w:left="0" w:leftChars="0" w:firstLine="0" w:firstLineChars="0"/>
        <w:jc w:val="center"/>
        <w:rPr>
          <w:rFonts w:hint="eastAsia" w:ascii="Times New Roman" w:hAnsi="Times New Roman" w:cs="Times New Roman"/>
          <w:b/>
          <w:bCs/>
          <w:color w:val="000000" w:themeColor="text1"/>
          <w:spacing w:val="20"/>
          <w:sz w:val="48"/>
          <w:szCs w:val="48"/>
          <w:highlight w:val="none"/>
          <w:lang w:val="en-US" w:eastAsia="zh-CN"/>
          <w14:textFill>
            <w14:solidFill>
              <w14:schemeClr w14:val="tx1"/>
            </w14:solidFill>
          </w14:textFill>
        </w:rPr>
      </w:pPr>
      <w:r>
        <w:rPr>
          <w:rFonts w:hint="default" w:ascii="Times New Roman" w:hAnsi="Times New Roman" w:cs="Times New Roman"/>
          <w:b/>
          <w:bCs/>
          <w:color w:val="000000" w:themeColor="text1"/>
          <w:spacing w:val="20"/>
          <w:sz w:val="48"/>
          <w:szCs w:val="48"/>
          <w:highlight w:val="none"/>
          <w14:textFill>
            <w14:solidFill>
              <w14:schemeClr w14:val="tx1"/>
            </w14:solidFill>
          </w14:textFill>
        </w:rPr>
        <w:t>土壤污染状况调查</w:t>
      </w:r>
      <w:r>
        <w:rPr>
          <w:rFonts w:hint="eastAsia" w:ascii="Times New Roman" w:hAnsi="Times New Roman" w:cs="Times New Roman"/>
          <w:b/>
          <w:bCs/>
          <w:color w:val="000000" w:themeColor="text1"/>
          <w:spacing w:val="20"/>
          <w:sz w:val="48"/>
          <w:szCs w:val="48"/>
          <w:highlight w:val="none"/>
          <w:lang w:eastAsia="zh-CN"/>
          <w14:textFill>
            <w14:solidFill>
              <w14:schemeClr w14:val="tx1"/>
            </w14:solidFill>
          </w14:textFill>
        </w:rPr>
        <w:t>报告（公示版）</w:t>
      </w:r>
    </w:p>
    <w:bookmarkEnd w:id="0"/>
    <w:bookmarkEnd w:id="1"/>
    <w:bookmarkEnd w:id="2"/>
    <w:bookmarkEnd w:id="3"/>
    <w:bookmarkEnd w:id="4"/>
    <w:bookmarkEnd w:id="5"/>
    <w:bookmarkEnd w:id="6"/>
    <w:bookmarkEnd w:id="7"/>
    <w:bookmarkEnd w:id="8"/>
    <w:bookmarkEnd w:id="9"/>
    <w:p w14:paraId="50E97F34">
      <w:pPr>
        <w:keepNext w:val="0"/>
        <w:keepLines w:val="0"/>
        <w:widowControl w:val="0"/>
        <w:spacing w:before="156" w:beforeLines="50" w:after="60" w:line="520" w:lineRule="exact"/>
        <w:ind w:firstLine="0" w:firstLineChars="0"/>
        <w:jc w:val="both"/>
        <w:outlineLvl w:val="2"/>
        <w:rPr>
          <w:rFonts w:hint="default" w:ascii="Times New Roman" w:hAnsi="Times New Roman" w:eastAsia="宋体" w:cs="Times New Roman"/>
          <w:b/>
          <w:bCs/>
          <w:color w:val="000000" w:themeColor="text1"/>
          <w:kern w:val="44"/>
          <w:sz w:val="28"/>
          <w:szCs w:val="32"/>
          <w:highlight w:val="none"/>
          <w:lang w:val="en-US" w:eastAsia="zh-CN" w:bidi="ar-SA"/>
          <w14:textFill>
            <w14:solidFill>
              <w14:schemeClr w14:val="tx1"/>
            </w14:solidFill>
          </w14:textFill>
        </w:rPr>
      </w:pPr>
      <w:bookmarkStart w:id="10" w:name="_Toc2823"/>
      <w:bookmarkStart w:id="11" w:name="_Toc5239"/>
      <w:bookmarkStart w:id="12" w:name="_Toc5723"/>
      <w:bookmarkStart w:id="13" w:name="_Toc2413"/>
      <w:bookmarkStart w:id="14" w:name="_Toc16658"/>
      <w:bookmarkStart w:id="15" w:name="_Toc28744"/>
      <w:bookmarkStart w:id="16" w:name="_Toc10018"/>
      <w:bookmarkStart w:id="17" w:name="_Toc705"/>
      <w:bookmarkStart w:id="40" w:name="_GoBack"/>
      <w:bookmarkEnd w:id="40"/>
      <w:r>
        <w:rPr>
          <w:rFonts w:hint="eastAsia" w:cs="Times New Roman"/>
          <w:b/>
          <w:bCs/>
          <w:color w:val="000000" w:themeColor="text1"/>
          <w:kern w:val="44"/>
          <w:sz w:val="28"/>
          <w:szCs w:val="32"/>
          <w:highlight w:val="none"/>
          <w:lang w:val="en-US" w:eastAsia="zh-CN" w:bidi="ar-SA"/>
          <w14:textFill>
            <w14:solidFill>
              <w14:schemeClr w14:val="tx1"/>
            </w14:solidFill>
          </w14:textFill>
        </w:rPr>
        <w:t>1</w:t>
      </w:r>
      <w:r>
        <w:rPr>
          <w:rFonts w:hint="default" w:ascii="Times New Roman" w:hAnsi="Times New Roman" w:eastAsia="宋体" w:cs="Times New Roman"/>
          <w:b/>
          <w:bCs/>
          <w:color w:val="000000" w:themeColor="text1"/>
          <w:kern w:val="44"/>
          <w:sz w:val="28"/>
          <w:szCs w:val="32"/>
          <w:highlight w:val="none"/>
          <w:lang w:val="en-US" w:eastAsia="zh-CN" w:bidi="ar-SA"/>
          <w14:textFill>
            <w14:solidFill>
              <w14:schemeClr w14:val="tx1"/>
            </w14:solidFill>
          </w14:textFill>
        </w:rPr>
        <w:t>.1地块概况</w:t>
      </w:r>
      <w:bookmarkEnd w:id="10"/>
      <w:bookmarkEnd w:id="11"/>
      <w:bookmarkEnd w:id="12"/>
      <w:bookmarkEnd w:id="13"/>
      <w:bookmarkEnd w:id="14"/>
      <w:bookmarkEnd w:id="15"/>
      <w:bookmarkEnd w:id="16"/>
      <w:bookmarkEnd w:id="17"/>
    </w:p>
    <w:p w14:paraId="3A15BF3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pPr>
      <w:bookmarkStart w:id="18" w:name="_Toc23724"/>
      <w:bookmarkStart w:id="19" w:name="_Toc22861"/>
      <w:bookmarkStart w:id="20" w:name="_Toc22904"/>
      <w:r>
        <w:rPr>
          <w:rFonts w:hint="default" w:ascii="Times New Roman" w:hAnsi="Times New Roman" w:eastAsia="宋体" w:cs="Times New Roman"/>
          <w:b w:val="0"/>
          <w:bCs w:val="0"/>
          <w:color w:val="000000" w:themeColor="text1"/>
          <w:highlight w:val="none"/>
          <w:lang w:eastAsia="zh-CN"/>
          <w14:textFill>
            <w14:solidFill>
              <w14:schemeClr w14:val="tx1"/>
            </w14:solidFill>
          </w14:textFill>
        </w:rPr>
        <w:t>隆化县</w:t>
      </w:r>
      <w:r>
        <w:rPr>
          <w:rFonts w:hint="eastAsia" w:cs="Times New Roman"/>
          <w:b w:val="0"/>
          <w:bCs w:val="0"/>
          <w:color w:val="000000" w:themeColor="text1"/>
          <w:highlight w:val="none"/>
          <w:lang w:eastAsia="zh-CN"/>
          <w14:textFill>
            <w14:solidFill>
              <w14:schemeClr w14:val="tx1"/>
            </w14:solidFill>
          </w14:textFill>
        </w:rPr>
        <w:t>闹海营2016年三批次地块1</w:t>
      </w:r>
      <w:r>
        <w:rPr>
          <w:rFonts w:hint="default" w:ascii="Times New Roman" w:hAnsi="Times New Roman" w:eastAsia="宋体" w:cs="Times New Roman"/>
          <w:b w:val="0"/>
          <w:bCs w:val="0"/>
          <w:color w:val="000000" w:themeColor="text1"/>
          <w:highlight w:val="none"/>
          <w:lang w:eastAsia="zh-CN"/>
          <w14:textFill>
            <w14:solidFill>
              <w14:schemeClr w14:val="tx1"/>
            </w14:solidFill>
          </w14:textFill>
        </w:rPr>
        <w:t>位于</w:t>
      </w:r>
      <w:r>
        <w:rPr>
          <w:rFonts w:hint="eastAsia" w:cs="Times New Roman"/>
          <w:b w:val="0"/>
          <w:bCs w:val="0"/>
          <w:color w:val="000000" w:themeColor="text1"/>
          <w:highlight w:val="none"/>
          <w:lang w:eastAsia="zh-CN"/>
          <w14:textFill>
            <w14:solidFill>
              <w14:schemeClr w14:val="tx1"/>
            </w14:solidFill>
          </w14:textFill>
        </w:rPr>
        <w:t>河北省承德市隆化县苔山镇闹海营村</w:t>
      </w:r>
      <w:r>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highlight w:val="none"/>
          <w:lang w:eastAsia="zh-CN"/>
          <w14:textFill>
            <w14:solidFill>
              <w14:schemeClr w14:val="tx1"/>
            </w14:solidFill>
          </w14:textFill>
        </w:rPr>
        <w:t>总占地面积</w:t>
      </w:r>
      <w:r>
        <w:rPr>
          <w:rFonts w:hint="eastAsia" w:cs="Times New Roman"/>
          <w:b w:val="0"/>
          <w:bCs w:val="0"/>
          <w:color w:val="000000" w:themeColor="text1"/>
          <w:highlight w:val="none"/>
          <w:lang w:val="en-US" w:eastAsia="zh-CN"/>
          <w14:textFill>
            <w14:solidFill>
              <w14:schemeClr w14:val="tx1"/>
            </w14:solidFill>
          </w14:textFill>
        </w:rPr>
        <w:t>21777.60</w:t>
      </w:r>
      <w:r>
        <w:rPr>
          <w:rFonts w:hint="eastAsia" w:cs="Times New Roman"/>
          <w:b w:val="0"/>
          <w:bCs w:val="0"/>
          <w:color w:val="000000" w:themeColor="text1"/>
          <w:highlight w:val="none"/>
          <w:lang w:eastAsia="zh-CN"/>
          <w14:textFill>
            <w14:solidFill>
              <w14:schemeClr w14:val="tx1"/>
            </w14:solidFill>
          </w14:textFill>
        </w:rPr>
        <w:t>m²（约合32.67亩）</w:t>
      </w:r>
      <w:r>
        <w:rPr>
          <w:rFonts w:hint="default" w:ascii="Times New Roman" w:hAnsi="Times New Roman" w:eastAsia="宋体" w:cs="Times New Roman"/>
          <w:b w:val="0"/>
          <w:bCs w:val="0"/>
          <w:color w:val="000000" w:themeColor="text1"/>
          <w:highlight w:val="none"/>
          <w:lang w:eastAsia="zh-CN"/>
          <w14:textFill>
            <w14:solidFill>
              <w14:schemeClr w14:val="tx1"/>
            </w14:solidFill>
          </w14:textFill>
        </w:rPr>
        <w:t>，</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地块</w:t>
      </w:r>
      <w:r>
        <w:rPr>
          <w:rFonts w:hint="default" w:ascii="Times New Roman" w:hAnsi="Times New Roman" w:eastAsia="宋体" w:cs="Times New Roman"/>
          <w:b w:val="0"/>
          <w:bCs w:val="0"/>
          <w:color w:val="000000" w:themeColor="text1"/>
          <w:highlight w:val="none"/>
          <w14:textFill>
            <w14:solidFill>
              <w14:schemeClr w14:val="tx1"/>
            </w14:solidFill>
          </w14:textFill>
        </w:rPr>
        <w:t>中心坐标：</w:t>
      </w:r>
      <w:r>
        <w:rPr>
          <w:rFonts w:hint="eastAsia" w:cs="Times New Roman"/>
          <w:b w:val="0"/>
          <w:bCs w:val="0"/>
          <w:color w:val="000000" w:themeColor="text1"/>
          <w:highlight w:val="none"/>
          <w:lang w:eastAsia="zh-CN"/>
          <w14:textFill>
            <w14:solidFill>
              <w14:schemeClr w14:val="tx1"/>
            </w14:solidFill>
          </w14:textFill>
        </w:rPr>
        <w:t>东经117.70798°，北纬41.29757°</w:t>
      </w:r>
      <w:r>
        <w:rPr>
          <w:rFonts w:hint="eastAsia" w:cs="Times New Roman"/>
          <w:b w:val="0"/>
          <w:bCs w:val="0"/>
          <w:color w:val="000000" w:themeColor="text1"/>
          <w:highlight w:val="none"/>
          <w:lang w:val="en-US" w:eastAsia="zh-CN"/>
          <w14:textFill>
            <w14:solidFill>
              <w14:schemeClr w14:val="tx1"/>
            </w14:solidFill>
          </w14:textFill>
        </w:rPr>
        <w:t>；</w:t>
      </w:r>
      <w:r>
        <w:rPr>
          <w:rFonts w:hint="eastAsia" w:cs="Times New Roman"/>
          <w:b w:val="0"/>
          <w:bCs w:val="0"/>
          <w:color w:val="000000" w:themeColor="text1"/>
          <w:highlight w:val="none"/>
          <w:lang w:eastAsia="zh-CN"/>
          <w14:textFill>
            <w14:solidFill>
              <w14:schemeClr w14:val="tx1"/>
            </w14:solidFill>
          </w14:textFill>
        </w:rPr>
        <w:t>项目地块东、南至规划道路，西至张隆公路，北至承德富海房开发有限公司地块</w:t>
      </w:r>
      <w:r>
        <w:rPr>
          <w:rFonts w:hint="default" w:ascii="Times New Roman" w:hAnsi="Times New Roman" w:eastAsia="宋体" w:cs="Times New Roman"/>
          <w:b w:val="0"/>
          <w:bCs w:val="0"/>
          <w:color w:val="000000" w:themeColor="text1"/>
          <w:highlight w:val="none"/>
          <w:lang w:eastAsia="zh-CN"/>
          <w14:textFill>
            <w14:solidFill>
              <w14:schemeClr w14:val="tx1"/>
            </w14:solidFill>
          </w14:textFill>
        </w:rPr>
        <w:t>。地块历史</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上</w:t>
      </w:r>
      <w:r>
        <w:rPr>
          <w:rFonts w:hint="default" w:ascii="Times New Roman" w:hAnsi="Times New Roman" w:eastAsia="宋体" w:cs="Times New Roman"/>
          <w:b w:val="0"/>
          <w:bCs w:val="0"/>
          <w:color w:val="000000" w:themeColor="text1"/>
          <w:highlight w:val="none"/>
          <w:lang w:eastAsia="zh-CN"/>
          <w14:textFill>
            <w14:solidFill>
              <w14:schemeClr w14:val="tx1"/>
            </w14:solidFill>
          </w14:textFill>
        </w:rPr>
        <w:t>为农用地</w:t>
      </w:r>
      <w:r>
        <w:rPr>
          <w:rFonts w:hint="default" w:ascii="Times New Roman" w:hAnsi="Times New Roman" w:cs="Times New Roman"/>
          <w:b w:val="0"/>
          <w:bCs w:val="0"/>
          <w:color w:val="000000" w:themeColor="text1"/>
          <w:highlight w:val="none"/>
          <w:lang w:eastAsia="zh-CN"/>
          <w14:textFill>
            <w14:solidFill>
              <w14:schemeClr w14:val="tx1"/>
            </w14:solidFill>
          </w14:textFill>
        </w:rPr>
        <w:t>，</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曾</w:t>
      </w:r>
      <w:r>
        <w:rPr>
          <w:rFonts w:hint="default" w:ascii="Times New Roman" w:hAnsi="Times New Roman" w:eastAsia="宋体" w:cs="Times New Roman"/>
          <w:b w:val="0"/>
          <w:bCs w:val="0"/>
          <w:color w:val="000000" w:themeColor="text1"/>
          <w:highlight w:val="none"/>
          <w:lang w:eastAsia="zh-CN"/>
          <w14:textFill>
            <w14:solidFill>
              <w14:schemeClr w14:val="tx1"/>
            </w14:solidFill>
          </w14:textFill>
        </w:rPr>
        <w:t>种植</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过</w:t>
      </w:r>
      <w:r>
        <w:rPr>
          <w:rFonts w:hint="default" w:ascii="Times New Roman" w:hAnsi="Times New Roman" w:eastAsia="宋体" w:cs="Times New Roman"/>
          <w:b w:val="0"/>
          <w:bCs w:val="0"/>
          <w:color w:val="000000" w:themeColor="text1"/>
          <w:highlight w:val="none"/>
          <w:lang w:eastAsia="zh-CN"/>
          <w14:textFill>
            <w14:solidFill>
              <w14:schemeClr w14:val="tx1"/>
            </w14:solidFill>
          </w14:textFill>
        </w:rPr>
        <w:t>玉米，</w:t>
      </w:r>
      <w:r>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t>历史至今未进行过</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任何</w:t>
      </w:r>
      <w:r>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t>工业生产经营活动。地块于201</w:t>
      </w:r>
      <w:r>
        <w:rPr>
          <w:rFonts w:hint="eastAsia" w:cs="Times New Roman"/>
          <w:b w:val="0"/>
          <w:bCs w:val="0"/>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t>年</w:t>
      </w:r>
      <w:r>
        <w:rPr>
          <w:rFonts w:hint="eastAsia" w:cs="Times New Roman"/>
          <w:b w:val="0"/>
          <w:bCs w:val="0"/>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t>月由隆化县土地储备中心收储为建设用地，收储后一直闲置</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至今</w:t>
      </w:r>
      <w:r>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t>。地块</w:t>
      </w:r>
      <w:r>
        <w:rPr>
          <w:rFonts w:hint="default" w:ascii="Times New Roman" w:hAnsi="Times New Roman" w:eastAsia="宋体" w:cs="Times New Roman"/>
          <w:b w:val="0"/>
          <w:bCs w:val="0"/>
          <w:color w:val="000000" w:themeColor="text1"/>
          <w:highlight w:val="none"/>
          <w14:textFill>
            <w14:solidFill>
              <w14:schemeClr w14:val="tx1"/>
            </w14:solidFill>
          </w14:textFill>
        </w:rPr>
        <w:t>规划</w:t>
      </w:r>
      <w:r>
        <w:rPr>
          <w:rFonts w:hint="default" w:ascii="Times New Roman" w:hAnsi="Times New Roman" w:eastAsia="宋体" w:cs="Times New Roman"/>
          <w:b w:val="0"/>
          <w:bCs w:val="0"/>
          <w:color w:val="000000" w:themeColor="text1"/>
          <w:highlight w:val="none"/>
          <w:lang w:eastAsia="zh-CN"/>
          <w14:textFill>
            <w14:solidFill>
              <w14:schemeClr w14:val="tx1"/>
            </w14:solidFill>
          </w14:textFill>
        </w:rPr>
        <w:t>用途</w:t>
      </w:r>
      <w:r>
        <w:rPr>
          <w:rFonts w:hint="default" w:ascii="Times New Roman" w:hAnsi="Times New Roman" w:eastAsia="宋体" w:cs="Times New Roman"/>
          <w:b w:val="0"/>
          <w:bCs w:val="0"/>
          <w:color w:val="000000" w:themeColor="text1"/>
          <w:highlight w:val="none"/>
          <w14:textFill>
            <w14:solidFill>
              <w14:schemeClr w14:val="tx1"/>
            </w14:solidFill>
          </w14:textFill>
        </w:rPr>
        <w:t>为</w:t>
      </w:r>
      <w:r>
        <w:rPr>
          <w:rFonts w:hint="default" w:ascii="Times New Roman" w:hAnsi="Times New Roman" w:eastAsia="宋体" w:cs="Times New Roman"/>
          <w:b w:val="0"/>
          <w:bCs w:val="0"/>
          <w:color w:val="000000" w:themeColor="text1"/>
          <w:highlight w:val="none"/>
          <w:lang w:eastAsia="zh-CN"/>
          <w14:textFill>
            <w14:solidFill>
              <w14:schemeClr w14:val="tx1"/>
            </w14:solidFill>
          </w14:textFill>
        </w:rPr>
        <w:t>居住用地</w:t>
      </w:r>
      <w:r>
        <w:rPr>
          <w:rFonts w:hint="default" w:ascii="Times New Roman" w:hAnsi="Times New Roman" w:eastAsia="宋体" w:cs="Times New Roman"/>
          <w:b w:val="0"/>
          <w:bCs w:val="0"/>
          <w:color w:val="000000" w:themeColor="text1"/>
          <w:highlight w:val="none"/>
          <w14:textFill>
            <w14:solidFill>
              <w14:schemeClr w14:val="tx1"/>
            </w14:solidFill>
          </w14:textFill>
        </w:rPr>
        <w:t>。</w:t>
      </w:r>
    </w:p>
    <w:p w14:paraId="5F6039A3">
      <w:pPr>
        <w:keepNext/>
        <w:keepLines/>
        <w:widowControl w:val="0"/>
        <w:bidi w:val="0"/>
        <w:spacing w:before="60" w:beforeLines="50" w:after="60" w:line="520" w:lineRule="exact"/>
        <w:ind w:firstLine="0" w:firstLineChars="0"/>
        <w:jc w:val="both"/>
        <w:outlineLvl w:val="2"/>
        <w:rPr>
          <w:rFonts w:hint="default" w:ascii="Times New Roman" w:hAnsi="Times New Roman" w:eastAsia="宋体" w:cs="Times New Roman"/>
          <w:b/>
          <w:bCs/>
          <w:color w:val="000000" w:themeColor="text1"/>
          <w:kern w:val="44"/>
          <w:sz w:val="28"/>
          <w:szCs w:val="32"/>
          <w:highlight w:val="none"/>
          <w:lang w:val="en-US" w:eastAsia="zh-CN" w:bidi="ar-SA"/>
          <w14:textFill>
            <w14:solidFill>
              <w14:schemeClr w14:val="tx1"/>
            </w14:solidFill>
          </w14:textFill>
        </w:rPr>
      </w:pPr>
      <w:bookmarkStart w:id="21" w:name="_Toc3650"/>
      <w:r>
        <w:rPr>
          <w:rFonts w:hint="default" w:ascii="Times New Roman" w:hAnsi="Times New Roman" w:eastAsia="宋体" w:cs="Times New Roman"/>
          <w:b/>
          <w:bCs/>
          <w:color w:val="000000" w:themeColor="text1"/>
          <w:kern w:val="44"/>
          <w:sz w:val="28"/>
          <w:szCs w:val="32"/>
          <w:highlight w:val="none"/>
          <w:lang w:val="en-US" w:eastAsia="zh-CN" w:bidi="ar-SA"/>
          <w14:textFill>
            <w14:solidFill>
              <w14:schemeClr w14:val="tx1"/>
            </w14:solidFill>
          </w14:textFill>
        </w:rPr>
        <w:t>1.2 污染识别结论</w:t>
      </w:r>
      <w:bookmarkEnd w:id="21"/>
    </w:p>
    <w:p w14:paraId="5E37EEF5">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highlight w:val="none"/>
          <w:lang w:val="en-US" w:eastAsia="zh-CN"/>
          <w14:textFill>
            <w14:solidFill>
              <w14:schemeClr w14:val="tx1"/>
            </w14:solidFill>
          </w14:textFill>
        </w:rPr>
        <w:t>通过现场踏勘、调查访问，收集地块现状和历史资料及相关文献，</w:t>
      </w:r>
      <w:r>
        <w:rPr>
          <w:rFonts w:hint="default" w:ascii="Times New Roman" w:hAnsi="Times New Roman" w:cs="Times New Roman"/>
          <w:color w:val="000000" w:themeColor="text1"/>
          <w:spacing w:val="0"/>
          <w:w w:val="100"/>
          <w:position w:val="0"/>
          <w:highlight w:val="none"/>
          <w:lang w:val="en-US" w:eastAsia="zh-CN"/>
          <w14:textFill>
            <w14:solidFill>
              <w14:schemeClr w14:val="tx1"/>
            </w14:solidFill>
          </w14:textFill>
        </w:rPr>
        <w:t>分析</w:t>
      </w:r>
      <w:r>
        <w:rPr>
          <w:rFonts w:hint="default" w:ascii="Times New Roman" w:hAnsi="Times New Roman" w:cs="Times New Roman"/>
          <w:color w:val="000000" w:themeColor="text1"/>
          <w:spacing w:val="0"/>
          <w:w w:val="100"/>
          <w:position w:val="0"/>
          <w:highlight w:val="none"/>
          <w:lang w:eastAsia="zh-CN"/>
          <w14:textFill>
            <w14:solidFill>
              <w14:schemeClr w14:val="tx1"/>
            </w14:solidFill>
          </w14:textFill>
        </w:rPr>
        <w:t>本项目地块内历史及现状</w:t>
      </w:r>
      <w:r>
        <w:rPr>
          <w:rFonts w:hint="default" w:ascii="Times New Roman" w:hAnsi="Times New Roman" w:cs="Times New Roman"/>
          <w:color w:val="000000" w:themeColor="text1"/>
          <w:spacing w:val="0"/>
          <w:w w:val="100"/>
          <w:position w:val="0"/>
          <w:highlight w:val="none"/>
          <w:lang w:val="en-US" w:eastAsia="zh-CN"/>
          <w14:textFill>
            <w14:solidFill>
              <w14:schemeClr w14:val="tx1"/>
            </w14:solidFill>
          </w14:textFill>
        </w:rPr>
        <w:t>的基本情况，初步认为可能导致土壤污染的主要途径为地块</w:t>
      </w:r>
      <w:r>
        <w:rPr>
          <w:rFonts w:hint="default" w:ascii="Times New Roman" w:hAnsi="Times New Roman" w:eastAsia="宋体" w:cs="Times New Roman"/>
          <w:b w:val="0"/>
          <w:bCs w:val="0"/>
          <w:color w:val="000000" w:themeColor="text1"/>
          <w:spacing w:val="0"/>
          <w:w w:val="100"/>
          <w:position w:val="0"/>
          <w:sz w:val="24"/>
          <w:szCs w:val="24"/>
          <w:highlight w:val="none"/>
          <w:lang w:val="en-US" w:eastAsia="zh-CN"/>
          <w14:textFill>
            <w14:solidFill>
              <w14:schemeClr w14:val="tx1"/>
            </w14:solidFill>
          </w14:textFill>
        </w:rPr>
        <w:t>农田耕作活动产生污染物的</w:t>
      </w:r>
      <w:r>
        <w:rPr>
          <w:rFonts w:hint="default" w:ascii="Times New Roman" w:hAnsi="Times New Roman" w:cs="Times New Roman"/>
          <w:color w:val="000000" w:themeColor="text1"/>
          <w:spacing w:val="0"/>
          <w:w w:val="100"/>
          <w:position w:val="0"/>
          <w:highlight w:val="none"/>
          <w:lang w:val="en-US" w:eastAsia="zh-CN"/>
          <w14:textFill>
            <w14:solidFill>
              <w14:schemeClr w14:val="tx1"/>
            </w14:solidFill>
          </w14:textFill>
        </w:rPr>
        <w:t>痕量累积及周边企业</w:t>
      </w:r>
      <w:r>
        <w:rPr>
          <w:rFonts w:hint="eastAsia" w:cs="Times New Roman"/>
          <w:color w:val="000000" w:themeColor="text1"/>
          <w:spacing w:val="0"/>
          <w:w w:val="100"/>
          <w:position w:val="0"/>
          <w:highlight w:val="none"/>
          <w:lang w:val="en-US" w:eastAsia="zh-CN"/>
          <w14:textFill>
            <w14:solidFill>
              <w14:schemeClr w14:val="tx1"/>
            </w14:solidFill>
          </w14:textFill>
        </w:rPr>
        <w:t>的影响。</w:t>
      </w:r>
      <w:r>
        <w:rPr>
          <w:rFonts w:hint="default" w:ascii="Times New Roman" w:hAnsi="Times New Roman" w:cs="Times New Roman"/>
          <w:color w:val="000000" w:themeColor="text1"/>
          <w:spacing w:val="0"/>
          <w:w w:val="100"/>
          <w:position w:val="0"/>
          <w:highlight w:val="none"/>
          <w:lang w:val="en-US" w:eastAsia="zh-CN"/>
          <w14:textFill>
            <w14:solidFill>
              <w14:schemeClr w14:val="tx1"/>
            </w14:solidFill>
          </w14:textFill>
        </w:rPr>
        <w:t>地块内涉及的潜在污染因子包括有机氯农药类（</w:t>
      </w:r>
      <w:r>
        <w:rPr>
          <w:rFonts w:hint="default" w:ascii="Times New Roman" w:hAnsi="Times New Roman" w:cs="Times New Roman"/>
          <w:color w:val="000000" w:themeColor="text1"/>
          <w:spacing w:val="0"/>
          <w:w w:val="100"/>
          <w:position w:val="0"/>
          <w:highlight w:val="none"/>
          <w:lang w:eastAsia="zh-CN"/>
          <w14:textFill>
            <w14:solidFill>
              <w14:schemeClr w14:val="tx1"/>
            </w14:solidFill>
          </w14:textFill>
        </w:rPr>
        <w:t>六六六、</w:t>
      </w:r>
      <w:r>
        <w:rPr>
          <w:rFonts w:hint="default" w:ascii="Times New Roman" w:hAnsi="Times New Roman" w:cs="Times New Roman"/>
          <w:color w:val="000000" w:themeColor="text1"/>
          <w:spacing w:val="0"/>
          <w:w w:val="100"/>
          <w:position w:val="0"/>
          <w:highlight w:val="none"/>
          <w:lang w:val="en-US" w:eastAsia="zh-CN"/>
          <w14:textFill>
            <w14:solidFill>
              <w14:schemeClr w14:val="tx1"/>
            </w14:solidFill>
          </w14:textFill>
        </w:rPr>
        <w:t>滴滴涕，含同分异构体）</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。周边企业对本项目地块可能产生的影响主要体</w:t>
      </w:r>
      <w:r>
        <w:rPr>
          <w:rFonts w:hint="eastAsia" w:cs="Times New Roman"/>
          <w:color w:val="000000" w:themeColor="text1"/>
          <w:sz w:val="24"/>
          <w:szCs w:val="24"/>
          <w:highlight w:val="none"/>
          <w:lang w:val="en-US" w:eastAsia="zh-CN"/>
          <w14:textFill>
            <w14:solidFill>
              <w14:schemeClr w14:val="tx1"/>
            </w14:solidFill>
          </w14:textFill>
        </w:rPr>
        <w:t>现在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两个途径：①大气沉降途径：主要考虑</w:t>
      </w:r>
      <w:r>
        <w:rPr>
          <w:rFonts w:hint="default" w:ascii="Times New Roman" w:hAnsi="Times New Roman" w:eastAsia="宋体" w:cs="Times New Roman"/>
          <w:color w:val="000000" w:themeColor="text1"/>
          <w:kern w:val="0"/>
          <w:highlight w:val="none"/>
          <w:lang w:val="en-US" w:eastAsia="zh-CN" w:bidi="ar"/>
          <w14:textFill>
            <w14:solidFill>
              <w14:schemeClr w14:val="tx1"/>
            </w14:solidFill>
          </w14:textFill>
        </w:rPr>
        <w:t>江源酒业有限责任公司</w:t>
      </w:r>
      <w:r>
        <w:rPr>
          <w:rFonts w:hint="default" w:ascii="Times New Roman" w:hAnsi="Times New Roman" w:cs="Times New Roman"/>
          <w:color w:val="000000" w:themeColor="text1"/>
          <w:kern w:val="0"/>
          <w:highlight w:val="none"/>
          <w:lang w:val="en-US" w:eastAsia="zh-CN" w:bidi="ar"/>
          <w14:textFill>
            <w14:solidFill>
              <w14:schemeClr w14:val="tx1"/>
            </w14:solidFill>
          </w14:textFill>
        </w:rPr>
        <w:t>供热锅炉烟尘</w:t>
      </w:r>
      <w:r>
        <w:rPr>
          <w:rFonts w:hint="default" w:ascii="Times New Roman" w:hAnsi="Times New Roman" w:eastAsia="宋体" w:cs="Times New Roman"/>
          <w:color w:val="000000" w:themeColor="text1"/>
          <w:kern w:val="0"/>
          <w:highlight w:val="none"/>
          <w:lang w:val="en-US" w:eastAsia="zh-CN" w:bidi="ar"/>
          <w14:textFill>
            <w14:solidFill>
              <w14:schemeClr w14:val="tx1"/>
            </w14:solidFill>
          </w14:textFill>
        </w:rPr>
        <w:t>、原隆化县化肥厂</w:t>
      </w:r>
      <w:r>
        <w:rPr>
          <w:rFonts w:hint="default" w:ascii="Times New Roman" w:hAnsi="Times New Roman" w:cs="Times New Roman"/>
          <w:color w:val="000000" w:themeColor="text1"/>
          <w:kern w:val="0"/>
          <w:highlight w:val="none"/>
          <w:lang w:val="en-US" w:eastAsia="zh-CN" w:bidi="ar"/>
          <w14:textFill>
            <w14:solidFill>
              <w14:schemeClr w14:val="tx1"/>
            </w14:solidFill>
          </w14:textFill>
        </w:rPr>
        <w:t>脱硫等</w:t>
      </w:r>
      <w:r>
        <w:rPr>
          <w:rFonts w:hint="eastAsia" w:cs="Times New Roman"/>
          <w:color w:val="000000" w:themeColor="text1"/>
          <w:kern w:val="0"/>
          <w:highlight w:val="none"/>
          <w:lang w:val="en-US" w:eastAsia="zh-CN" w:bidi="ar"/>
          <w14:textFill>
            <w14:solidFill>
              <w14:schemeClr w14:val="tx1"/>
            </w14:solidFill>
          </w14:textFill>
        </w:rPr>
        <w:t>生产</w:t>
      </w:r>
      <w:r>
        <w:rPr>
          <w:rFonts w:hint="default" w:ascii="Times New Roman" w:hAnsi="Times New Roman" w:cs="Times New Roman"/>
          <w:color w:val="000000" w:themeColor="text1"/>
          <w:kern w:val="0"/>
          <w:highlight w:val="none"/>
          <w:lang w:val="en-US" w:eastAsia="zh-CN" w:bidi="ar"/>
          <w14:textFill>
            <w14:solidFill>
              <w14:schemeClr w14:val="tx1"/>
            </w14:solidFill>
          </w14:textFill>
        </w:rPr>
        <w:t>废气</w:t>
      </w:r>
      <w:r>
        <w:rPr>
          <w:rFonts w:hint="default" w:ascii="Times New Roman" w:hAnsi="Times New Roman" w:eastAsia="宋体" w:cs="Times New Roman"/>
          <w:color w:val="000000" w:themeColor="text1"/>
          <w:kern w:val="0"/>
          <w:highlight w:val="none"/>
          <w:lang w:val="en-US" w:eastAsia="zh-CN" w:bidi="ar"/>
          <w14:textFill>
            <w14:solidFill>
              <w14:schemeClr w14:val="tx1"/>
            </w14:solidFill>
          </w14:textFill>
        </w:rPr>
        <w:t>、混凝土搅拌站</w:t>
      </w:r>
      <w:r>
        <w:rPr>
          <w:rFonts w:hint="default" w:ascii="Times New Roman" w:hAnsi="Times New Roman" w:cs="Times New Roman"/>
          <w:color w:val="000000" w:themeColor="text1"/>
          <w:kern w:val="0"/>
          <w:highlight w:val="none"/>
          <w:lang w:val="en-US" w:eastAsia="zh-CN" w:bidi="ar"/>
          <w14:textFill>
            <w14:solidFill>
              <w14:schemeClr w14:val="tx1"/>
            </w14:solidFill>
          </w14:textFill>
        </w:rPr>
        <w:t>混料废气</w:t>
      </w:r>
      <w:r>
        <w:rPr>
          <w:rFonts w:hint="default" w:ascii="Times New Roman" w:hAnsi="Times New Roman" w:eastAsia="宋体" w:cs="Times New Roman"/>
          <w:color w:val="000000" w:themeColor="text1"/>
          <w:kern w:val="0"/>
          <w:highlight w:val="none"/>
          <w:lang w:val="en-US" w:eastAsia="zh-CN" w:bidi="ar"/>
          <w14:textFill>
            <w14:solidFill>
              <w14:schemeClr w14:val="tx1"/>
            </w14:solidFill>
          </w14:textFill>
        </w:rPr>
        <w:t>、汽修厂</w:t>
      </w:r>
      <w:r>
        <w:rPr>
          <w:rFonts w:hint="default" w:ascii="Times New Roman" w:hAnsi="Times New Roman" w:cs="Times New Roman"/>
          <w:color w:val="000000" w:themeColor="text1"/>
          <w:kern w:val="0"/>
          <w:highlight w:val="none"/>
          <w:lang w:val="en-US" w:eastAsia="zh-CN" w:bidi="ar"/>
          <w14:textFill>
            <w14:solidFill>
              <w14:schemeClr w14:val="tx1"/>
            </w14:solidFill>
          </w14:textFill>
        </w:rPr>
        <w:t>喷漆废气等大气污染源对周边地块土壤产生的影响，潜在污染因子包括</w:t>
      </w:r>
      <w:r>
        <w:rPr>
          <w:rFonts w:hint="default" w:ascii="Times New Roman" w:hAnsi="Times New Roman" w:cs="Times New Roman"/>
          <w:color w:val="000000" w:themeColor="text1"/>
          <w:lang w:eastAsia="zh-CN"/>
          <w14:textFill>
            <w14:solidFill>
              <w14:schemeClr w14:val="tx1"/>
            </w14:solidFill>
          </w14:textFill>
        </w:rPr>
        <w:t>重金属（砷、铅、汞、铜、铅、镍等）</w:t>
      </w:r>
      <w:r>
        <w:rPr>
          <w:rFonts w:hint="default" w:ascii="Times New Roman" w:hAnsi="Times New Roman" w:cs="Times New Roman"/>
          <w:color w:val="000000" w:themeColor="text1"/>
          <w:lang w:val="en-US" w:eastAsia="zh-CN"/>
          <w14:textFill>
            <w14:solidFill>
              <w14:schemeClr w14:val="tx1"/>
            </w14:solidFill>
          </w14:textFill>
        </w:rPr>
        <w:t>、多环芳烃（</w:t>
      </w:r>
      <w:r>
        <w:rPr>
          <w:rFonts w:hint="default" w:ascii="Times New Roman" w:hAnsi="Times New Roman" w:cs="Times New Roman"/>
          <w:color w:val="000000" w:themeColor="text1"/>
          <w14:textFill>
            <w14:solidFill>
              <w14:schemeClr w14:val="tx1"/>
            </w14:solidFill>
          </w14:textFill>
        </w:rPr>
        <w:t>萘、菲、苯并[a]芘</w:t>
      </w:r>
      <w:r>
        <w:rPr>
          <w:rFonts w:hint="default" w:ascii="Times New Roman" w:hAnsi="Times New Roman" w:cs="Times New Roman"/>
          <w:color w:val="000000" w:themeColor="text1"/>
          <w:lang w:val="en-US" w:eastAsia="zh-CN"/>
          <w14:textFill>
            <w14:solidFill>
              <w14:schemeClr w14:val="tx1"/>
            </w14:solidFill>
          </w14:textFill>
        </w:rPr>
        <w:t>等）、可溶性氟化物、苯系物（苯、甲苯、二甲苯等）</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②地下水迁移途径：主要考虑地块地下水上游方向上的</w:t>
      </w:r>
      <w:r>
        <w:rPr>
          <w:rFonts w:hint="default" w:ascii="Times New Roman" w:hAnsi="Times New Roman" w:eastAsia="宋体" w:cs="Times New Roman"/>
          <w:color w:val="000000" w:themeColor="text1"/>
          <w:kern w:val="0"/>
          <w:highlight w:val="none"/>
          <w:lang w:val="en-US" w:eastAsia="zh-CN" w:bidi="ar"/>
          <w14:textFill>
            <w14:solidFill>
              <w14:schemeClr w14:val="tx1"/>
            </w14:solidFill>
          </w14:textFill>
        </w:rPr>
        <w:t>承德江源酒业有限责任公司</w:t>
      </w:r>
      <w:r>
        <w:rPr>
          <w:rFonts w:hint="default" w:ascii="Times New Roman" w:hAnsi="Times New Roman" w:cs="Times New Roman"/>
          <w:color w:val="000000" w:themeColor="text1"/>
          <w:kern w:val="0"/>
          <w:highlight w:val="none"/>
          <w:lang w:val="en-US" w:eastAsia="zh-CN" w:bidi="ar"/>
          <w14:textFill>
            <w14:solidFill>
              <w14:schemeClr w14:val="tx1"/>
            </w14:solidFill>
          </w14:textFill>
        </w:rPr>
        <w:t>生产废水</w:t>
      </w:r>
      <w:r>
        <w:rPr>
          <w:rFonts w:hint="default" w:ascii="Times New Roman" w:hAnsi="Times New Roman" w:eastAsia="宋体" w:cs="Times New Roman"/>
          <w:color w:val="000000" w:themeColor="text1"/>
          <w:kern w:val="0"/>
          <w:highlight w:val="none"/>
          <w:lang w:val="en-US" w:eastAsia="zh-CN" w:bidi="ar"/>
          <w14:textFill>
            <w14:solidFill>
              <w14:schemeClr w14:val="tx1"/>
            </w14:solidFill>
          </w14:textFill>
        </w:rPr>
        <w:t>、原隆化县化肥厂</w:t>
      </w:r>
      <w:r>
        <w:rPr>
          <w:rFonts w:hint="eastAsia" w:cs="Times New Roman"/>
          <w:color w:val="000000" w:themeColor="text1"/>
          <w:kern w:val="0"/>
          <w:highlight w:val="none"/>
          <w:lang w:val="en-US" w:eastAsia="zh-CN" w:bidi="ar"/>
          <w14:textFill>
            <w14:solidFill>
              <w14:schemeClr w14:val="tx1"/>
            </w14:solidFill>
          </w14:textFill>
        </w:rPr>
        <w:t>生产废水</w:t>
      </w:r>
      <w:r>
        <w:rPr>
          <w:rFonts w:hint="default" w:ascii="Times New Roman" w:hAnsi="Times New Roman" w:cs="Times New Roman"/>
          <w:color w:val="000000" w:themeColor="text1"/>
          <w:lang w:val="en-US" w:eastAsia="zh-CN"/>
          <w14:textFill>
            <w14:solidFill>
              <w14:schemeClr w14:val="tx1"/>
            </w14:solidFill>
          </w14:textFill>
        </w:rPr>
        <w:t>通过跑冒滴漏或</w:t>
      </w:r>
      <w:r>
        <w:rPr>
          <w:rFonts w:hint="eastAsia" w:cs="Times New Roman"/>
          <w:color w:val="000000" w:themeColor="text1"/>
          <w:lang w:val="en-US" w:eastAsia="zh-CN"/>
          <w14:textFill>
            <w14:solidFill>
              <w14:schemeClr w14:val="tx1"/>
            </w14:solidFill>
          </w14:textFill>
        </w:rPr>
        <w:t>泄漏</w:t>
      </w:r>
      <w:r>
        <w:rPr>
          <w:rFonts w:hint="default" w:ascii="Times New Roman" w:hAnsi="Times New Roman" w:cs="Times New Roman"/>
          <w:color w:val="000000" w:themeColor="text1"/>
          <w:lang w:val="en-US" w:eastAsia="zh-CN"/>
          <w14:textFill>
            <w14:solidFill>
              <w14:schemeClr w14:val="tx1"/>
            </w14:solidFill>
          </w14:textFill>
        </w:rPr>
        <w:t>污染区域地下水环境，进而通过地下水的迁移污染本项目地块地下水，潜在污染因子包括pH、耗氧量、氨氮、硝酸盐氮、亚硝酸盐氮、溶解性总固体</w:t>
      </w:r>
      <w:r>
        <w:rPr>
          <w:rFonts w:hint="default" w:ascii="Times New Roman" w:hAnsi="Times New Roman" w:cs="Times New Roman"/>
          <w:color w:val="000000" w:themeColor="text1"/>
          <w:lang w:eastAsia="zh-CN"/>
          <w14:textFill>
            <w14:solidFill>
              <w14:schemeClr w14:val="tx1"/>
            </w14:solidFill>
          </w14:textFill>
        </w:rPr>
        <w:t>等。</w:t>
      </w:r>
    </w:p>
    <w:bookmarkEnd w:id="18"/>
    <w:bookmarkEnd w:id="19"/>
    <w:bookmarkEnd w:id="20"/>
    <w:p w14:paraId="00F9473B">
      <w:pPr>
        <w:keepNext w:val="0"/>
        <w:keepLines w:val="0"/>
        <w:widowControl w:val="0"/>
        <w:spacing w:before="156" w:beforeLines="50" w:after="60" w:line="520" w:lineRule="exact"/>
        <w:ind w:firstLine="0" w:firstLineChars="0"/>
        <w:jc w:val="both"/>
        <w:outlineLvl w:val="2"/>
        <w:rPr>
          <w:rFonts w:hint="default" w:ascii="Times New Roman" w:hAnsi="Times New Roman" w:eastAsia="宋体" w:cs="Times New Roman"/>
          <w:b/>
          <w:bCs/>
          <w:color w:val="000000" w:themeColor="text1"/>
          <w:kern w:val="44"/>
          <w:sz w:val="28"/>
          <w:szCs w:val="32"/>
          <w:highlight w:val="none"/>
          <w:lang w:val="en-US" w:eastAsia="zh-CN" w:bidi="ar-SA"/>
          <w14:textFill>
            <w14:solidFill>
              <w14:schemeClr w14:val="tx1"/>
            </w14:solidFill>
          </w14:textFill>
        </w:rPr>
      </w:pPr>
      <w:bookmarkStart w:id="22" w:name="_Toc12983"/>
      <w:bookmarkStart w:id="23" w:name="_Toc24871"/>
      <w:r>
        <w:rPr>
          <w:rFonts w:hint="eastAsia" w:cs="Times New Roman"/>
          <w:b/>
          <w:bCs/>
          <w:color w:val="000000" w:themeColor="text1"/>
          <w:kern w:val="44"/>
          <w:sz w:val="28"/>
          <w:szCs w:val="32"/>
          <w:highlight w:val="none"/>
          <w:lang w:val="en-US" w:eastAsia="zh-CN" w:bidi="ar-SA"/>
          <w14:textFill>
            <w14:solidFill>
              <w14:schemeClr w14:val="tx1"/>
            </w14:solidFill>
          </w14:textFill>
        </w:rPr>
        <w:t>1.3</w:t>
      </w:r>
      <w:r>
        <w:rPr>
          <w:rFonts w:hint="default" w:ascii="Times New Roman" w:hAnsi="Times New Roman" w:eastAsia="宋体" w:cs="Times New Roman"/>
          <w:b/>
          <w:bCs/>
          <w:color w:val="000000" w:themeColor="text1"/>
          <w:kern w:val="44"/>
          <w:sz w:val="28"/>
          <w:szCs w:val="32"/>
          <w:highlight w:val="none"/>
          <w:lang w:val="en-US" w:eastAsia="zh-CN" w:bidi="ar-SA"/>
          <w14:textFill>
            <w14:solidFill>
              <w14:schemeClr w14:val="tx1"/>
            </w14:solidFill>
          </w14:textFill>
        </w:rPr>
        <w:t xml:space="preserve"> 现场采样和检测</w:t>
      </w:r>
      <w:bookmarkEnd w:id="22"/>
      <w:bookmarkEnd w:id="23"/>
    </w:p>
    <w:p w14:paraId="709FB130">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我单位于202</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highlight w:val="none"/>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月</w:t>
      </w:r>
      <w:r>
        <w:rPr>
          <w:rFonts w:hint="default" w:ascii="Times New Roman" w:hAnsi="Times New Roman" w:eastAsia="宋体" w:cs="Times New Roman"/>
          <w:color w:val="000000" w:themeColor="text1"/>
          <w:highlight w:val="none"/>
          <w:lang w:val="en-US" w:eastAsia="zh-CN"/>
          <w14:textFill>
            <w14:solidFill>
              <w14:schemeClr w14:val="tx1"/>
            </w14:solidFill>
          </w14:textFill>
        </w:rPr>
        <w:t>2</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highlight w:val="none"/>
          <w14:textFill>
            <w14:solidFill>
              <w14:schemeClr w14:val="tx1"/>
            </w14:solidFill>
          </w14:textFill>
        </w:rPr>
        <w:t>日~</w:t>
      </w:r>
      <w:r>
        <w:rPr>
          <w:rFonts w:hint="eastAsia" w:cs="Times New Roman"/>
          <w:color w:val="000000" w:themeColor="text1"/>
          <w:highlight w:val="none"/>
          <w:lang w:val="en-US" w:eastAsia="zh-CN"/>
          <w14:textFill>
            <w14:solidFill>
              <w14:schemeClr w14:val="tx1"/>
            </w14:solidFill>
          </w14:textFill>
        </w:rPr>
        <w:t>28</w:t>
      </w:r>
      <w:r>
        <w:rPr>
          <w:rFonts w:hint="default" w:ascii="Times New Roman" w:hAnsi="Times New Roman" w:eastAsia="宋体" w:cs="Times New Roman"/>
          <w:color w:val="000000" w:themeColor="text1"/>
          <w:highlight w:val="none"/>
          <w14:textFill>
            <w14:solidFill>
              <w14:schemeClr w14:val="tx1"/>
            </w14:solidFill>
          </w14:textFill>
        </w:rPr>
        <w:t>日对项目地块进行了钻探采样，</w:t>
      </w:r>
      <w:r>
        <w:rPr>
          <w:rFonts w:hint="default" w:ascii="Times New Roman" w:hAnsi="Times New Roman" w:eastAsia="宋体" w:cs="Times New Roman"/>
          <w:color w:val="000000" w:themeColor="text1"/>
          <w:highlight w:val="none"/>
          <w:lang w:val="en-US" w:eastAsia="zh-CN"/>
          <w14:textFill>
            <w14:solidFill>
              <w14:schemeClr w14:val="tx1"/>
            </w14:solidFill>
          </w14:textFill>
        </w:rPr>
        <w:t>202</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highlight w:val="none"/>
          <w:lang w:val="en-US" w:eastAsia="zh-CN"/>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月1日对地下水进行采样。</w:t>
      </w:r>
      <w:r>
        <w:rPr>
          <w:rFonts w:hint="default" w:ascii="Times New Roman" w:hAnsi="Times New Roman" w:eastAsia="宋体" w:cs="Times New Roman"/>
          <w:color w:val="000000" w:themeColor="text1"/>
          <w:highlight w:val="none"/>
          <w:lang w:eastAsia="zh-CN"/>
          <w14:textFill>
            <w14:solidFill>
              <w14:schemeClr w14:val="tx1"/>
            </w14:solidFill>
          </w14:textFill>
        </w:rPr>
        <w:t>现场共布设</w:t>
      </w:r>
      <w:r>
        <w:rPr>
          <w:rFonts w:hint="default" w:ascii="Times New Roman" w:hAnsi="Times New Roman" w:eastAsia="宋体" w:cs="Times New Roman"/>
          <w:color w:val="000000" w:themeColor="text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highlight w:val="none"/>
          <w:lang w:eastAsia="zh-CN"/>
          <w14:textFill>
            <w14:solidFill>
              <w14:schemeClr w14:val="tx1"/>
            </w14:solidFill>
          </w14:textFill>
        </w:rPr>
        <w:t>个土壤监测点位，现场采集</w:t>
      </w:r>
      <w:r>
        <w:rPr>
          <w:rFonts w:hint="default" w:ascii="Times New Roman" w:hAnsi="Times New Roman" w:eastAsia="宋体" w:cs="Times New Roman"/>
          <w:color w:val="000000" w:themeColor="text1"/>
          <w:highlight w:val="none"/>
          <w:lang w:val="en-US" w:eastAsia="zh-CN"/>
          <w14:textFill>
            <w14:solidFill>
              <w14:schemeClr w14:val="tx1"/>
            </w14:solidFill>
          </w14:textFill>
        </w:rPr>
        <w:t>16</w:t>
      </w:r>
      <w:r>
        <w:rPr>
          <w:rFonts w:hint="default" w:ascii="Times New Roman" w:hAnsi="Times New Roman" w:eastAsia="宋体" w:cs="Times New Roman"/>
          <w:color w:val="000000" w:themeColor="text1"/>
          <w:highlight w:val="none"/>
          <w:lang w:eastAsia="zh-CN"/>
          <w14:textFill>
            <w14:solidFill>
              <w14:schemeClr w14:val="tx1"/>
            </w14:solidFill>
          </w14:textFill>
        </w:rPr>
        <w:t>组土壤样品，另采集</w:t>
      </w:r>
      <w:r>
        <w:rPr>
          <w:rFonts w:hint="default"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lang w:eastAsia="zh-CN"/>
          <w14:textFill>
            <w14:solidFill>
              <w14:schemeClr w14:val="tx1"/>
            </w14:solidFill>
          </w14:textFill>
        </w:rPr>
        <w:t>组土壤平行样品；采集3组地下水样品，另有1组现场平行</w:t>
      </w:r>
      <w:r>
        <w:rPr>
          <w:rFonts w:hint="eastAsia" w:cs="Times New Roman"/>
          <w:color w:val="000000" w:themeColor="text1"/>
          <w:highlight w:val="none"/>
          <w:lang w:eastAsia="zh-CN"/>
          <w14:textFill>
            <w14:solidFill>
              <w14:schemeClr w14:val="tx1"/>
            </w14:solidFill>
          </w14:textFill>
        </w:rPr>
        <w:t>样品</w:t>
      </w:r>
      <w:r>
        <w:rPr>
          <w:rFonts w:hint="default" w:ascii="Times New Roman" w:hAnsi="Times New Roman" w:eastAsia="宋体" w:cs="Times New Roman"/>
          <w:color w:val="000000" w:themeColor="text1"/>
          <w:highlight w:val="none"/>
          <w:lang w:eastAsia="zh-CN"/>
          <w14:textFill>
            <w14:solidFill>
              <w14:schemeClr w14:val="tx1"/>
            </w14:solidFill>
          </w14:textFill>
        </w:rPr>
        <w:t>。全部交由河北百润环境检测技术有限公司实验室进行化验分析。</w:t>
      </w:r>
    </w:p>
    <w:p w14:paraId="282E32E2">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本项目调查采集的所有样品全部委托河北百润环境检测技术有限公司进行检测分析，目前已提供了全部检测样品的检测报告及质控报告。</w:t>
      </w:r>
    </w:p>
    <w:p w14:paraId="78A75256">
      <w:pPr>
        <w:keepNext w:val="0"/>
        <w:keepLines w:val="0"/>
        <w:widowControl w:val="0"/>
        <w:spacing w:before="156" w:beforeLines="50" w:after="60" w:line="520" w:lineRule="exact"/>
        <w:ind w:firstLine="0" w:firstLineChars="0"/>
        <w:jc w:val="both"/>
        <w:outlineLvl w:val="2"/>
        <w:rPr>
          <w:rFonts w:hint="default" w:ascii="Times New Roman" w:hAnsi="Times New Roman" w:eastAsia="宋体" w:cs="Times New Roman"/>
          <w:b/>
          <w:bCs/>
          <w:color w:val="000000" w:themeColor="text1"/>
          <w:kern w:val="44"/>
          <w:sz w:val="28"/>
          <w:szCs w:val="32"/>
          <w:highlight w:val="none"/>
          <w:lang w:val="en-US" w:eastAsia="zh-CN" w:bidi="ar-SA"/>
          <w14:textFill>
            <w14:solidFill>
              <w14:schemeClr w14:val="tx1"/>
            </w14:solidFill>
          </w14:textFill>
        </w:rPr>
      </w:pPr>
      <w:bookmarkStart w:id="24" w:name="_Toc10295"/>
      <w:bookmarkStart w:id="25" w:name="_Toc17228"/>
      <w:bookmarkStart w:id="26" w:name="_Toc24420"/>
      <w:bookmarkStart w:id="27" w:name="_Toc12717"/>
      <w:bookmarkStart w:id="28" w:name="_Toc1129"/>
      <w:bookmarkStart w:id="29" w:name="_Toc15429"/>
      <w:bookmarkStart w:id="30" w:name="_Toc21994"/>
      <w:r>
        <w:rPr>
          <w:rFonts w:hint="eastAsia" w:cs="Times New Roman"/>
          <w:b/>
          <w:bCs/>
          <w:color w:val="000000" w:themeColor="text1"/>
          <w:kern w:val="44"/>
          <w:sz w:val="28"/>
          <w:szCs w:val="32"/>
          <w:highlight w:val="none"/>
          <w:lang w:val="en-US" w:eastAsia="zh-CN" w:bidi="ar-SA"/>
          <w14:textFill>
            <w14:solidFill>
              <w14:schemeClr w14:val="tx1"/>
            </w14:solidFill>
          </w14:textFill>
        </w:rPr>
        <w:t xml:space="preserve">1.4 </w:t>
      </w:r>
      <w:r>
        <w:rPr>
          <w:rFonts w:hint="default" w:ascii="Times New Roman" w:hAnsi="Times New Roman" w:eastAsia="宋体" w:cs="Times New Roman"/>
          <w:b/>
          <w:bCs/>
          <w:color w:val="000000" w:themeColor="text1"/>
          <w:kern w:val="44"/>
          <w:sz w:val="28"/>
          <w:szCs w:val="32"/>
          <w:highlight w:val="none"/>
          <w:lang w:val="en-US" w:eastAsia="zh-CN" w:bidi="ar-SA"/>
          <w14:textFill>
            <w14:solidFill>
              <w14:schemeClr w14:val="tx1"/>
            </w14:solidFill>
          </w14:textFill>
        </w:rPr>
        <w:t>检测结果分析</w:t>
      </w:r>
      <w:bookmarkEnd w:id="24"/>
      <w:bookmarkEnd w:id="25"/>
      <w:bookmarkEnd w:id="26"/>
      <w:bookmarkEnd w:id="27"/>
      <w:bookmarkEnd w:id="28"/>
      <w:bookmarkEnd w:id="29"/>
      <w:bookmarkEnd w:id="30"/>
    </w:p>
    <w:p w14:paraId="3C44785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（1）土壤检测结果</w:t>
      </w:r>
    </w:p>
    <w:p w14:paraId="05A4AFAC">
      <w:pPr>
        <w:widowControl w:val="0"/>
        <w:spacing w:line="520" w:lineRule="exact"/>
        <w:ind w:firstLine="480" w:firstLineChars="200"/>
        <w:jc w:val="both"/>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根据地块土壤样品检测结果，在地块采集的16个土壤样品测定的重金属（除六价铬外）因子均有检出，但各检出因子的最大浓度均未超过本地块土壤调查所选用的筛选值，测定六价铬、VOCs、SVOCs、六六六、滴滴涕等全部未检出，满足</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《土壤环境质量 建设用地土壤污染风险管控标准（试行）》（GB 36600-2018）第一类用地要求；氨氮</w:t>
      </w:r>
      <w:r>
        <w:rPr>
          <w:rFonts w:hint="eastAsia" w:cs="Times New Roman"/>
          <w:color w:val="000000" w:themeColor="text1"/>
          <w:kern w:val="0"/>
          <w:sz w:val="24"/>
          <w:szCs w:val="24"/>
          <w:highlight w:val="none"/>
          <w:lang w:val="en-US" w:eastAsia="zh-CN" w:bidi="ar-SA"/>
          <w14:textFill>
            <w14:solidFill>
              <w14:schemeClr w14:val="tx1"/>
            </w14:solidFill>
          </w14:textFill>
        </w:rPr>
        <w:t>、水溶性氟化物</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均有检出，检出浓度满足</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《建设用地土壤污染风险筛选值》（DB 13/T 5216-2020）</w:t>
      </w:r>
      <w:r>
        <w:rPr>
          <w:rFonts w:hint="default" w:ascii="Times New Roman" w:hAnsi="Times New Roman" w:eastAsia="宋体" w:cs="Times New Roman"/>
          <w:bCs/>
          <w:color w:val="000000" w:themeColor="text1"/>
          <w:kern w:val="2"/>
          <w:sz w:val="24"/>
          <w:szCs w:val="24"/>
          <w:highlight w:val="none"/>
          <w:lang w:val="en-US" w:eastAsia="zh-CN" w:bidi="ar-SA"/>
          <w14:textFill>
            <w14:solidFill>
              <w14:schemeClr w14:val="tx1"/>
            </w14:solidFill>
          </w14:textFill>
        </w:rPr>
        <w:t>中第一类用地筛选值</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7DCF229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（2）地下水检测结果</w:t>
      </w:r>
    </w:p>
    <w:p w14:paraId="688A6558">
      <w:pPr>
        <w:widowControl w:val="0"/>
        <w:spacing w:line="520" w:lineRule="exact"/>
        <w:ind w:firstLine="480" w:firstLineChars="200"/>
        <w:jc w:val="both"/>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根据本次调查范围内地下水检测结果的统计分析，3口地下水中有检出的因子包括pH、总硬度、溶解性总固体</w:t>
      </w:r>
      <w:r>
        <w:rPr>
          <w:rFonts w:hint="eastAsia" w:cs="Times New Roman"/>
          <w:color w:val="000000" w:themeColor="text1"/>
          <w:kern w:val="2"/>
          <w:sz w:val="24"/>
          <w:szCs w:val="24"/>
          <w:highlight w:val="none"/>
          <w:lang w:val="en-US" w:eastAsia="zh-CN" w:bidi="ar-SA"/>
          <w14:textFill>
            <w14:solidFill>
              <w14:schemeClr w14:val="tx1"/>
            </w14:solidFill>
          </w14:textFill>
        </w:rPr>
        <w:t>等</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共计</w:t>
      </w:r>
      <w:r>
        <w:rPr>
          <w:rFonts w:hint="eastAsia" w:cs="Times New Roman"/>
          <w:color w:val="000000" w:themeColor="text1"/>
          <w:kern w:val="2"/>
          <w:sz w:val="24"/>
          <w:szCs w:val="24"/>
          <w:highlight w:val="none"/>
          <w:lang w:val="en-US" w:eastAsia="zh-CN" w:bidi="ar-SA"/>
          <w14:textFill>
            <w14:solidFill>
              <w14:schemeClr w14:val="tx1"/>
            </w14:solidFill>
          </w14:textFill>
        </w:rPr>
        <w:t>16</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项，检出因子pH、溶解性总固体、Cl</w:t>
      </w:r>
      <w:r>
        <w:rPr>
          <w:rFonts w:hint="default"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、SO</w:t>
      </w:r>
      <w:r>
        <w:rPr>
          <w:rFonts w:hint="default" w:ascii="Times New Roman" w:hAnsi="Times New Roman" w:eastAsia="宋体" w:cs="Times New Roman"/>
          <w:color w:val="000000" w:themeColor="text1"/>
          <w:kern w:val="2"/>
          <w:sz w:val="24"/>
          <w:szCs w:val="24"/>
          <w:highlight w:val="none"/>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、锰、耗氧量、钠、亚硝酸盐氮、氟化物、铝</w:t>
      </w:r>
      <w:r>
        <w:rPr>
          <w:rFonts w:hint="eastAsia" w:cs="Times New Roman"/>
          <w:color w:val="000000" w:themeColor="text1"/>
          <w:kern w:val="2"/>
          <w:sz w:val="24"/>
          <w:szCs w:val="24"/>
          <w:highlight w:val="none"/>
          <w:lang w:val="en-US" w:eastAsia="zh-CN" w:bidi="ar-SA"/>
          <w14:textFill>
            <w14:solidFill>
              <w14:schemeClr w14:val="tx1"/>
            </w14:solidFill>
          </w14:textFill>
        </w:rPr>
        <w:t>、铜、砷、硒</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均符合《地下水质量标准》（GB/T14848-2017）Ⅲ类标准</w:t>
      </w:r>
      <w:r>
        <w:rPr>
          <w:rFonts w:hint="eastAsia" w:cs="Times New Roman"/>
          <w:color w:val="000000" w:themeColor="text1"/>
          <w:kern w:val="2"/>
          <w:sz w:val="24"/>
          <w:szCs w:val="24"/>
          <w:highlight w:val="none"/>
          <w:lang w:val="en-US" w:eastAsia="zh-CN" w:bidi="ar-SA"/>
          <w14:textFill>
            <w14:solidFill>
              <w14:schemeClr w14:val="tx1"/>
            </w14:solidFill>
          </w14:textFill>
        </w:rPr>
        <w:t>；总硬度、硝酸盐全部超出</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《地下水质量标准》（GB/T14848-2017）Ⅲ类标准</w:t>
      </w:r>
      <w:r>
        <w:rPr>
          <w:rFonts w:hint="eastAsia" w:cs="Times New Roman"/>
          <w:color w:val="000000" w:themeColor="text1"/>
          <w:kern w:val="2"/>
          <w:sz w:val="24"/>
          <w:szCs w:val="24"/>
          <w:highlight w:val="none"/>
          <w:lang w:val="en-US" w:eastAsia="zh-CN" w:bidi="ar-SA"/>
          <w14:textFill>
            <w14:solidFill>
              <w14:schemeClr w14:val="tx1"/>
            </w14:solidFill>
          </w14:textFill>
        </w:rPr>
        <w:t>，氨氮仅W2超出</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《地下水质量标准》（GB/T14848-2017）Ⅲ类标准</w:t>
      </w:r>
      <w:r>
        <w:rPr>
          <w:rFonts w:hint="eastAsia" w:cs="Times New Roman"/>
          <w:color w:val="000000" w:themeColor="text1"/>
          <w:kern w:val="2"/>
          <w:sz w:val="24"/>
          <w:szCs w:val="24"/>
          <w:highlight w:val="none"/>
          <w:lang w:val="en-US" w:eastAsia="zh-CN" w:bidi="ar-SA"/>
          <w14:textFill>
            <w14:solidFill>
              <w14:schemeClr w14:val="tx1"/>
            </w14:solidFill>
          </w14:textFill>
        </w:rPr>
        <w:t>，其他两口水井</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符合《地下水质量标准》（GB/T14848-2017）Ⅲ类标准</w:t>
      </w:r>
      <w:r>
        <w:rPr>
          <w:rFonts w:hint="eastAsia" w:cs="Times New Roman"/>
          <w:color w:val="000000" w:themeColor="text1"/>
          <w:kern w:val="2"/>
          <w:sz w:val="24"/>
          <w:szCs w:val="24"/>
          <w:highlight w:val="none"/>
          <w:lang w:val="en-US" w:eastAsia="zh-CN" w:bidi="ar-SA"/>
          <w14:textFill>
            <w14:solidFill>
              <w14:schemeClr w14:val="tx1"/>
            </w14:solidFill>
          </w14:textFill>
        </w:rPr>
        <w:t>。</w:t>
      </w:r>
    </w:p>
    <w:p w14:paraId="22A98125">
      <w:pPr>
        <w:widowControl w:val="0"/>
        <w:spacing w:line="520" w:lineRule="exact"/>
        <w:ind w:firstLine="480" w:firstLineChars="200"/>
        <w:jc w:val="both"/>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结合污染识别结论</w:t>
      </w:r>
      <w:r>
        <w:rPr>
          <w:rFonts w:hint="eastAsia" w:cs="Times New Roman"/>
          <w:color w:val="000000" w:themeColor="text1"/>
          <w:kern w:val="2"/>
          <w:sz w:val="24"/>
          <w:szCs w:val="24"/>
          <w:highlight w:val="none"/>
          <w:lang w:val="en-US" w:eastAsia="zh-CN" w:bidi="ar-SA"/>
          <w14:textFill>
            <w14:solidFill>
              <w14:schemeClr w14:val="tx1"/>
            </w14:solidFill>
          </w14:textFill>
        </w:rPr>
        <w:t>及周边调查报告结论，</w:t>
      </w:r>
      <w:r>
        <w:rPr>
          <w:rFonts w:hint="eastAsia" w:cs="Times New Roman"/>
          <w:color w:val="000000" w:themeColor="text1"/>
          <w:sz w:val="24"/>
          <w:highlight w:val="none"/>
          <w:lang w:val="en-US" w:eastAsia="zh-CN"/>
          <w14:textFill>
            <w14:solidFill>
              <w14:schemeClr w14:val="tx1"/>
            </w14:solidFill>
          </w14:textFill>
        </w:rPr>
        <w:t>区域地下水总硬度、硝酸盐在周边调查地块的地下水监测井中均超过《</w:t>
      </w:r>
      <w:r>
        <w:rPr>
          <w:rFonts w:hint="default" w:ascii="Times New Roman" w:hAnsi="Times New Roman" w:cs="Times New Roman"/>
          <w:color w:val="000000" w:themeColor="text1"/>
          <w:sz w:val="24"/>
          <w:szCs w:val="24"/>
          <w:highlight w:val="none"/>
          <w14:textFill>
            <w14:solidFill>
              <w14:schemeClr w14:val="tx1"/>
            </w14:solidFill>
          </w14:textFill>
        </w:rPr>
        <w:t>地下水质量标准》（GB/T14848-2017）Ⅲ类标准</w:t>
      </w:r>
      <w:r>
        <w:rPr>
          <w:rFonts w:hint="eastAsia" w:ascii="Times New Roman" w:hAnsi="Times New Roman" w:cs="Times New Roman"/>
          <w:color w:val="000000" w:themeColor="text1"/>
          <w:sz w:val="24"/>
          <w:szCs w:val="24"/>
          <w:highlight w:val="none"/>
          <w:lang w:eastAsia="zh-CN"/>
          <w14:textFill>
            <w14:solidFill>
              <w14:schemeClr w14:val="tx1"/>
            </w14:solidFill>
          </w14:textFill>
        </w:rPr>
        <w:t>，周边调查报告结论分析</w:t>
      </w:r>
      <w:r>
        <w:rPr>
          <w:rFonts w:hint="eastAsia" w:cs="Times New Roman"/>
          <w:color w:val="000000" w:themeColor="text1"/>
          <w:sz w:val="24"/>
          <w:szCs w:val="24"/>
          <w:highlight w:val="none"/>
          <w:lang w:val="en-US" w:eastAsia="zh-CN"/>
          <w14:textFill>
            <w14:solidFill>
              <w14:schemeClr w14:val="tx1"/>
            </w14:solidFill>
          </w14:textFill>
        </w:rPr>
        <w:t>认为是由于区域地质原因</w:t>
      </w:r>
      <w:r>
        <w:rPr>
          <w:rFonts w:hint="eastAsia" w:ascii="Times New Roman" w:hAnsi="Times New Roman" w:cs="Times New Roman"/>
          <w:color w:val="000000" w:themeColor="text1"/>
          <w:sz w:val="24"/>
          <w:szCs w:val="24"/>
          <w:highlight w:val="none"/>
          <w:lang w:eastAsia="zh-CN"/>
          <w14:textFill>
            <w14:solidFill>
              <w14:schemeClr w14:val="tx1"/>
            </w14:solidFill>
          </w14:textFill>
        </w:rPr>
        <w:t>地下水中</w:t>
      </w:r>
      <w:r>
        <w:rPr>
          <w:rFonts w:hint="eastAsia" w:cs="Times New Roman"/>
          <w:color w:val="000000" w:themeColor="text1"/>
          <w:sz w:val="24"/>
          <w:highlight w:val="none"/>
          <w:lang w:val="en-US" w:eastAsia="zh-CN"/>
          <w14:textFill>
            <w14:solidFill>
              <w14:schemeClr w14:val="tx1"/>
            </w14:solidFill>
          </w14:textFill>
        </w:rPr>
        <w:t>总硬度、硝酸盐</w:t>
      </w:r>
      <w:r>
        <w:rPr>
          <w:rFonts w:hint="eastAsia" w:ascii="Times New Roman" w:hAnsi="Times New Roman" w:cs="Times New Roman"/>
          <w:color w:val="000000" w:themeColor="text1"/>
          <w:sz w:val="24"/>
          <w:szCs w:val="24"/>
          <w:highlight w:val="none"/>
          <w:lang w:eastAsia="zh-CN"/>
          <w14:textFill>
            <w14:solidFill>
              <w14:schemeClr w14:val="tx1"/>
            </w14:solidFill>
          </w14:textFill>
        </w:rPr>
        <w:t>的检出浓度较高；同时结合搜集到的论文</w:t>
      </w:r>
      <w:r>
        <w:rPr>
          <w:rFonts w:hint="eastAsia" w:cs="Times New Roman"/>
          <w:color w:val="000000" w:themeColor="text1"/>
          <w:sz w:val="24"/>
          <w:szCs w:val="24"/>
          <w:highlight w:val="none"/>
          <w:lang w:eastAsia="zh-CN"/>
          <w14:textFill>
            <w14:solidFill>
              <w14:schemeClr w14:val="tx1"/>
            </w14:solidFill>
          </w14:textFill>
        </w:rPr>
        <w:t>《承德市地下水水质现状评价及防治对策》中分析，承德地区超标地下水因子包括：锰、总硬度、溶解性总固体、硝酸盐等</w:t>
      </w:r>
      <w:r>
        <w:rPr>
          <w:rFonts w:hint="eastAsia" w:cs="Times New Roman"/>
          <w:color w:val="000000" w:themeColor="text1"/>
          <w:sz w:val="24"/>
          <w:szCs w:val="24"/>
          <w:highlight w:val="none"/>
          <w:lang w:val="en-US" w:eastAsia="zh-CN"/>
          <w14:textFill>
            <w14:solidFill>
              <w14:schemeClr w14:val="tx1"/>
            </w14:solidFill>
          </w14:textFill>
        </w:rPr>
        <w:t>10余种因子，本项目地块地下水井中</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硝酸盐</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、总硬度超标可能</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属于地质原因</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。氨氮在部分水井中超过</w:t>
      </w:r>
      <w:r>
        <w:rPr>
          <w:rFonts w:hint="default" w:ascii="Times New Roman" w:hAnsi="Times New Roman" w:cs="Times New Roman"/>
          <w:color w:val="000000" w:themeColor="text1"/>
          <w:sz w:val="24"/>
          <w:szCs w:val="24"/>
          <w:highlight w:val="none"/>
          <w14:textFill>
            <w14:solidFill>
              <w14:schemeClr w14:val="tx1"/>
            </w14:solidFill>
          </w14:textFill>
        </w:rPr>
        <w:t>Ⅲ类标准</w:t>
      </w:r>
      <w:r>
        <w:rPr>
          <w:rFonts w:hint="eastAsia" w:cs="Times New Roman"/>
          <w:color w:val="000000" w:themeColor="text1"/>
          <w:sz w:val="24"/>
          <w:szCs w:val="24"/>
          <w:highlight w:val="none"/>
          <w:lang w:eastAsia="zh-CN"/>
          <w14:textFill>
            <w14:solidFill>
              <w14:schemeClr w14:val="tx1"/>
            </w14:solidFill>
          </w14:textFill>
        </w:rPr>
        <w:t>，但超标浓度较低，分析认为是由于本次调查地块的地下水埋深较浅，且地势较低，同时硝酸盐氮超标，三氮之间转化也可能会造成地块内部氨氮轻微超过</w:t>
      </w:r>
      <w:r>
        <w:rPr>
          <w:rFonts w:hint="default" w:ascii="Times New Roman" w:hAnsi="Times New Roman" w:cs="Times New Roman"/>
          <w:color w:val="000000" w:themeColor="text1"/>
          <w:sz w:val="24"/>
          <w:szCs w:val="24"/>
          <w:highlight w:val="none"/>
          <w14:textFill>
            <w14:solidFill>
              <w14:schemeClr w14:val="tx1"/>
            </w14:solidFill>
          </w14:textFill>
        </w:rPr>
        <w:t>Ⅲ类标准</w:t>
      </w:r>
      <w:r>
        <w:rPr>
          <w:rFonts w:hint="eastAsia" w:cs="Times New Roman"/>
          <w:color w:val="000000" w:themeColor="text1"/>
          <w:sz w:val="24"/>
          <w:szCs w:val="24"/>
          <w:highlight w:val="none"/>
          <w:lang w:eastAsia="zh-CN"/>
          <w14:textFill>
            <w14:solidFill>
              <w14:schemeClr w14:val="tx1"/>
            </w14:solidFill>
          </w14:textFill>
        </w:rPr>
        <w:t>。</w:t>
      </w:r>
    </w:p>
    <w:p w14:paraId="2ED1E601">
      <w:pPr>
        <w:widowControl w:val="0"/>
        <w:spacing w:line="520" w:lineRule="exact"/>
        <w:ind w:firstLine="480" w:firstLineChars="200"/>
        <w:jc w:val="both"/>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本次地下水检测结果中超标因子为</w:t>
      </w:r>
      <w:r>
        <w:rPr>
          <w:rFonts w:hint="eastAsia" w:cs="Times New Roman"/>
          <w:color w:val="000000" w:themeColor="text1"/>
          <w:highlight w:val="none"/>
          <w:lang w:eastAsia="zh-CN"/>
          <w14:textFill>
            <w14:solidFill>
              <w14:schemeClr w14:val="tx1"/>
            </w14:solidFill>
          </w14:textFill>
        </w:rPr>
        <w:t>氨氮、硝酸盐</w:t>
      </w:r>
      <w:r>
        <w:rPr>
          <w:rFonts w:hint="default" w:ascii="Times New Roman" w:hAnsi="Times New Roman" w:eastAsia="宋体" w:cs="Times New Roman"/>
          <w:color w:val="000000" w:themeColor="text1"/>
          <w:highlight w:val="none"/>
          <w:lang w:eastAsia="zh-CN"/>
          <w14:textFill>
            <w14:solidFill>
              <w14:schemeClr w14:val="tx1"/>
            </w14:solidFill>
          </w14:textFill>
        </w:rPr>
        <w:t>、总硬度（以CaCO</w:t>
      </w:r>
      <w:r>
        <w:rPr>
          <w:rFonts w:hint="default" w:ascii="Times New Roman" w:hAnsi="Times New Roman" w:eastAsia="宋体" w:cs="Times New Roman"/>
          <w:color w:val="000000" w:themeColor="text1"/>
          <w:highlight w:val="none"/>
          <w:vertAlign w:val="subscript"/>
          <w:lang w:eastAsia="zh-CN"/>
          <w14:textFill>
            <w14:solidFill>
              <w14:schemeClr w14:val="tx1"/>
            </w14:solidFill>
          </w14:textFill>
        </w:rPr>
        <w:t>3</w:t>
      </w:r>
      <w:r>
        <w:rPr>
          <w:rFonts w:hint="default" w:ascii="Times New Roman" w:hAnsi="Times New Roman" w:eastAsia="宋体" w:cs="Times New Roman"/>
          <w:color w:val="000000" w:themeColor="text1"/>
          <w:highlight w:val="none"/>
          <w:lang w:eastAsia="zh-CN"/>
          <w14:textFill>
            <w14:solidFill>
              <w14:schemeClr w14:val="tx1"/>
            </w14:solidFill>
          </w14:textFill>
        </w:rPr>
        <w:t>计），均不具有挥发性，项目区域内</w:t>
      </w:r>
      <w:r>
        <w:rPr>
          <w:rFonts w:hint="eastAsia" w:cs="Times New Roman"/>
          <w:color w:val="000000" w:themeColor="text1"/>
          <w:highlight w:val="none"/>
          <w:lang w:eastAsia="zh-CN"/>
          <w14:textFill>
            <w14:solidFill>
              <w14:schemeClr w14:val="tx1"/>
            </w14:solidFill>
          </w14:textFill>
        </w:rPr>
        <w:t>浅层</w:t>
      </w:r>
      <w:r>
        <w:rPr>
          <w:rFonts w:hint="default" w:ascii="Times New Roman" w:hAnsi="Times New Roman" w:eastAsia="宋体" w:cs="Times New Roman"/>
          <w:color w:val="000000" w:themeColor="text1"/>
          <w:highlight w:val="none"/>
          <w:lang w:eastAsia="zh-CN"/>
          <w14:textFill>
            <w14:solidFill>
              <w14:schemeClr w14:val="tx1"/>
            </w14:solidFill>
          </w14:textFill>
        </w:rPr>
        <w:t>地下水无利用规划，严禁开采利用，在不饮用的情况下对人体健康风险不存在暴露途径，不会对人体产生健康风险</w:t>
      </w:r>
      <w:r>
        <w:rPr>
          <w:rFonts w:hint="eastAsia" w:cs="Times New Roman"/>
          <w:color w:val="000000" w:themeColor="text1"/>
          <w:highlight w:val="none"/>
          <w:lang w:eastAsia="zh-CN"/>
          <w14:textFill>
            <w14:solidFill>
              <w14:schemeClr w14:val="tx1"/>
            </w14:solidFill>
          </w14:textFill>
        </w:rPr>
        <w:t>。</w:t>
      </w:r>
    </w:p>
    <w:p w14:paraId="7E4236DA">
      <w:pPr>
        <w:keepNext/>
        <w:keepLines/>
        <w:spacing w:before="60" w:after="60"/>
        <w:ind w:firstLine="0" w:firstLineChars="0"/>
        <w:outlineLvl w:val="2"/>
        <w:rPr>
          <w:rFonts w:hint="default" w:ascii="Times New Roman" w:hAnsi="Times New Roman" w:eastAsia="宋体" w:cs="Times New Roman"/>
          <w:b/>
          <w:color w:val="000000" w:themeColor="text1"/>
          <w:sz w:val="28"/>
          <w:highlight w:val="none"/>
          <w14:textFill>
            <w14:solidFill>
              <w14:schemeClr w14:val="tx1"/>
            </w14:solidFill>
          </w14:textFill>
        </w:rPr>
      </w:pPr>
      <w:bookmarkStart w:id="31" w:name="_Toc29436"/>
      <w:bookmarkStart w:id="32" w:name="_Toc29425"/>
      <w:bookmarkStart w:id="33" w:name="_Toc28038"/>
      <w:bookmarkStart w:id="34" w:name="_Toc19300"/>
      <w:bookmarkStart w:id="35" w:name="_Toc15050"/>
      <w:bookmarkStart w:id="36" w:name="_Toc27064"/>
      <w:bookmarkStart w:id="37" w:name="_Toc1746"/>
      <w:bookmarkStart w:id="38" w:name="_Toc10514"/>
      <w:bookmarkStart w:id="39" w:name="_Toc16526"/>
      <w:r>
        <w:rPr>
          <w:rFonts w:hint="eastAsia" w:cs="Times New Roman"/>
          <w:b/>
          <w:color w:val="000000" w:themeColor="text1"/>
          <w:sz w:val="28"/>
          <w:highlight w:val="none"/>
          <w:lang w:val="en-US" w:eastAsia="zh-CN"/>
          <w14:textFill>
            <w14:solidFill>
              <w14:schemeClr w14:val="tx1"/>
            </w14:solidFill>
          </w14:textFill>
        </w:rPr>
        <w:t>1.5</w:t>
      </w:r>
      <w:r>
        <w:rPr>
          <w:rFonts w:hint="default" w:ascii="Times New Roman" w:hAnsi="Times New Roman" w:eastAsia="宋体" w:cs="Times New Roman"/>
          <w:b/>
          <w:color w:val="000000" w:themeColor="text1"/>
          <w:sz w:val="28"/>
          <w:highlight w:val="none"/>
          <w14:textFill>
            <w14:solidFill>
              <w14:schemeClr w14:val="tx1"/>
            </w14:solidFill>
          </w14:textFill>
        </w:rPr>
        <w:t xml:space="preserve"> 调查结论</w:t>
      </w:r>
      <w:bookmarkEnd w:id="31"/>
      <w:bookmarkEnd w:id="32"/>
      <w:bookmarkEnd w:id="33"/>
    </w:p>
    <w:p w14:paraId="29AEA2AA">
      <w:pPr>
        <w:keepNext w:val="0"/>
        <w:keepLines w:val="0"/>
        <w:pageBreakBefore w:val="0"/>
        <w:widowControl w:val="0"/>
        <w:wordWrap/>
        <w:topLinePunct w:val="0"/>
        <w:bidi w:val="0"/>
        <w:spacing w:line="520" w:lineRule="exact"/>
        <w:ind w:firstLine="480" w:firstLineChars="200"/>
        <w:jc w:val="both"/>
        <w:rPr>
          <w:rFonts w:hint="default" w:ascii="Times New Roman" w:hAnsi="Times New Roman" w:eastAsia="宋体" w:cs="Times New Roman"/>
          <w:color w:val="000000" w:themeColor="text1"/>
          <w:kern w:val="0"/>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根据本项目地块土壤及地下水样品检测结果的统计分析，本项目土壤</w:t>
      </w:r>
      <w:r>
        <w:rPr>
          <w:rFonts w:hint="default" w:ascii="Times New Roman" w:hAnsi="Times New Roman" w:eastAsia="宋体" w:cs="Times New Roman"/>
          <w:color w:val="000000" w:themeColor="text1"/>
          <w:highlight w:val="none"/>
          <w:lang w:eastAsia="zh-CN"/>
          <w14:textFill>
            <w14:solidFill>
              <w14:schemeClr w14:val="tx1"/>
            </w14:solidFill>
          </w14:textFill>
        </w:rPr>
        <w:t>和地下水</w:t>
      </w:r>
      <w:r>
        <w:rPr>
          <w:rFonts w:hint="default" w:ascii="Times New Roman" w:hAnsi="Times New Roman" w:eastAsia="宋体" w:cs="Times New Roman"/>
          <w:color w:val="000000" w:themeColor="text1"/>
          <w:highlight w:val="none"/>
          <w14:textFill>
            <w14:solidFill>
              <w14:schemeClr w14:val="tx1"/>
            </w14:solidFill>
          </w14:textFill>
        </w:rPr>
        <w:t>监测结果均未超出本次土壤污染状况调查所用的筛选值，整体认为地块无需启动详细调查及风险评估工作，本地块调查工作到该阶段（技术路线第二阶段）结束。该地块用地性质规划为居住用地，即《土壤环境质量 建设用地土壤污染风险管控标准（试行）》（GB 36600-2018）中的第一类用地进行评价，根据监测结果分析，本地块达到一类用地标准，因此本地块可作为居住用地安全利用。</w:t>
      </w:r>
      <w:bookmarkEnd w:id="34"/>
      <w:bookmarkEnd w:id="35"/>
      <w:bookmarkEnd w:id="36"/>
      <w:bookmarkEnd w:id="37"/>
      <w:bookmarkEnd w:id="38"/>
      <w:bookmarkEnd w:id="39"/>
    </w:p>
    <w:p w14:paraId="454E0CA6"/>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473B8"/>
    <w:rsid w:val="002E0E0E"/>
    <w:rsid w:val="00536AE3"/>
    <w:rsid w:val="00A602EA"/>
    <w:rsid w:val="013407A8"/>
    <w:rsid w:val="01717585"/>
    <w:rsid w:val="01C53B43"/>
    <w:rsid w:val="021C29C7"/>
    <w:rsid w:val="02873A8F"/>
    <w:rsid w:val="02892C9C"/>
    <w:rsid w:val="02D54790"/>
    <w:rsid w:val="040F7439"/>
    <w:rsid w:val="05D043EC"/>
    <w:rsid w:val="06113A92"/>
    <w:rsid w:val="065262C4"/>
    <w:rsid w:val="06926245"/>
    <w:rsid w:val="06C40688"/>
    <w:rsid w:val="07021308"/>
    <w:rsid w:val="0753307A"/>
    <w:rsid w:val="077C65D2"/>
    <w:rsid w:val="07CD0DD3"/>
    <w:rsid w:val="084B199A"/>
    <w:rsid w:val="08552189"/>
    <w:rsid w:val="08EA4FD6"/>
    <w:rsid w:val="0A8148E9"/>
    <w:rsid w:val="0A8C6210"/>
    <w:rsid w:val="0AFD09B0"/>
    <w:rsid w:val="0B00445D"/>
    <w:rsid w:val="0B8B686A"/>
    <w:rsid w:val="0D7102F0"/>
    <w:rsid w:val="0E586939"/>
    <w:rsid w:val="0E906508"/>
    <w:rsid w:val="0F297ABE"/>
    <w:rsid w:val="10021981"/>
    <w:rsid w:val="109D6130"/>
    <w:rsid w:val="10CE77A2"/>
    <w:rsid w:val="11624912"/>
    <w:rsid w:val="11FC4DB8"/>
    <w:rsid w:val="121A20BA"/>
    <w:rsid w:val="128137CC"/>
    <w:rsid w:val="12D90B97"/>
    <w:rsid w:val="12E34B15"/>
    <w:rsid w:val="13345698"/>
    <w:rsid w:val="13477178"/>
    <w:rsid w:val="138F2508"/>
    <w:rsid w:val="14691370"/>
    <w:rsid w:val="15915022"/>
    <w:rsid w:val="165112DB"/>
    <w:rsid w:val="16E237F2"/>
    <w:rsid w:val="174D6C2B"/>
    <w:rsid w:val="17501011"/>
    <w:rsid w:val="17A016C8"/>
    <w:rsid w:val="183323C1"/>
    <w:rsid w:val="18DD358B"/>
    <w:rsid w:val="191D3EEC"/>
    <w:rsid w:val="19B412DF"/>
    <w:rsid w:val="1A335100"/>
    <w:rsid w:val="1A995393"/>
    <w:rsid w:val="1B2D425E"/>
    <w:rsid w:val="1CEA60F6"/>
    <w:rsid w:val="1D5C2DA2"/>
    <w:rsid w:val="1D89011C"/>
    <w:rsid w:val="1DC65F93"/>
    <w:rsid w:val="1E8B3A50"/>
    <w:rsid w:val="1E936EBB"/>
    <w:rsid w:val="1ED03C27"/>
    <w:rsid w:val="1FA869A6"/>
    <w:rsid w:val="202B5505"/>
    <w:rsid w:val="217D1928"/>
    <w:rsid w:val="21894376"/>
    <w:rsid w:val="22A35968"/>
    <w:rsid w:val="23193F4A"/>
    <w:rsid w:val="23DF32DA"/>
    <w:rsid w:val="246D0A09"/>
    <w:rsid w:val="256B2266"/>
    <w:rsid w:val="259E1665"/>
    <w:rsid w:val="26DE69A7"/>
    <w:rsid w:val="2749750B"/>
    <w:rsid w:val="281318C7"/>
    <w:rsid w:val="284326B1"/>
    <w:rsid w:val="2AD9252E"/>
    <w:rsid w:val="2B4C103D"/>
    <w:rsid w:val="2B541D1A"/>
    <w:rsid w:val="2C203481"/>
    <w:rsid w:val="2D1161A8"/>
    <w:rsid w:val="2E34706E"/>
    <w:rsid w:val="2F266CC9"/>
    <w:rsid w:val="2F7339CB"/>
    <w:rsid w:val="2F7A56C2"/>
    <w:rsid w:val="306A5663"/>
    <w:rsid w:val="31AD2CA0"/>
    <w:rsid w:val="31CC6620"/>
    <w:rsid w:val="31CD0D39"/>
    <w:rsid w:val="31CF24E5"/>
    <w:rsid w:val="32D12960"/>
    <w:rsid w:val="331E7471"/>
    <w:rsid w:val="332C1A8F"/>
    <w:rsid w:val="335322D4"/>
    <w:rsid w:val="33B66164"/>
    <w:rsid w:val="33CE210A"/>
    <w:rsid w:val="33D57F02"/>
    <w:rsid w:val="33F10D1E"/>
    <w:rsid w:val="340060FD"/>
    <w:rsid w:val="343F3D36"/>
    <w:rsid w:val="348E4AFD"/>
    <w:rsid w:val="34D9107F"/>
    <w:rsid w:val="375300E7"/>
    <w:rsid w:val="38361BA7"/>
    <w:rsid w:val="38CF608C"/>
    <w:rsid w:val="3A1A4D37"/>
    <w:rsid w:val="3A914FF9"/>
    <w:rsid w:val="3B2148C3"/>
    <w:rsid w:val="3BC46927"/>
    <w:rsid w:val="3C1313DB"/>
    <w:rsid w:val="3C2D6267"/>
    <w:rsid w:val="3DDE41DD"/>
    <w:rsid w:val="3E2460F2"/>
    <w:rsid w:val="3E301A13"/>
    <w:rsid w:val="3F5C51A0"/>
    <w:rsid w:val="3F955EBB"/>
    <w:rsid w:val="3FE567B3"/>
    <w:rsid w:val="4052765A"/>
    <w:rsid w:val="40C61C98"/>
    <w:rsid w:val="40F3614E"/>
    <w:rsid w:val="42323228"/>
    <w:rsid w:val="42593FF7"/>
    <w:rsid w:val="426D7C4D"/>
    <w:rsid w:val="42C504B4"/>
    <w:rsid w:val="435373F7"/>
    <w:rsid w:val="4357591F"/>
    <w:rsid w:val="442D2E9E"/>
    <w:rsid w:val="44E34FF7"/>
    <w:rsid w:val="45175DEB"/>
    <w:rsid w:val="452C45F5"/>
    <w:rsid w:val="45F12A69"/>
    <w:rsid w:val="46F85CAE"/>
    <w:rsid w:val="471C5052"/>
    <w:rsid w:val="47817AD2"/>
    <w:rsid w:val="479B1C7F"/>
    <w:rsid w:val="485C039F"/>
    <w:rsid w:val="493E3409"/>
    <w:rsid w:val="4A2442CD"/>
    <w:rsid w:val="4A672DB4"/>
    <w:rsid w:val="4B0F258B"/>
    <w:rsid w:val="4B2428A3"/>
    <w:rsid w:val="4C2C2DD4"/>
    <w:rsid w:val="4CE31B0A"/>
    <w:rsid w:val="4D435398"/>
    <w:rsid w:val="4E76514B"/>
    <w:rsid w:val="4EF01FF9"/>
    <w:rsid w:val="4FC315B7"/>
    <w:rsid w:val="50234409"/>
    <w:rsid w:val="50B92A51"/>
    <w:rsid w:val="514F4E6E"/>
    <w:rsid w:val="51931529"/>
    <w:rsid w:val="51E27A91"/>
    <w:rsid w:val="529675DE"/>
    <w:rsid w:val="52BE7978"/>
    <w:rsid w:val="53D47786"/>
    <w:rsid w:val="544C25FD"/>
    <w:rsid w:val="54551A55"/>
    <w:rsid w:val="548519DE"/>
    <w:rsid w:val="54C54178"/>
    <w:rsid w:val="552108D6"/>
    <w:rsid w:val="557E4A98"/>
    <w:rsid w:val="56114ACB"/>
    <w:rsid w:val="57D1628D"/>
    <w:rsid w:val="581B530B"/>
    <w:rsid w:val="594E7507"/>
    <w:rsid w:val="595934AD"/>
    <w:rsid w:val="59E157DE"/>
    <w:rsid w:val="5ABD6C4B"/>
    <w:rsid w:val="5ACE1569"/>
    <w:rsid w:val="5B29258E"/>
    <w:rsid w:val="5B9F4063"/>
    <w:rsid w:val="5BB24978"/>
    <w:rsid w:val="5CAB7075"/>
    <w:rsid w:val="5CF473B8"/>
    <w:rsid w:val="5D1802B8"/>
    <w:rsid w:val="5D337604"/>
    <w:rsid w:val="5D3E52BE"/>
    <w:rsid w:val="5DD7237A"/>
    <w:rsid w:val="5E7513B9"/>
    <w:rsid w:val="5F5D1EAE"/>
    <w:rsid w:val="61146A5D"/>
    <w:rsid w:val="6154742A"/>
    <w:rsid w:val="61823089"/>
    <w:rsid w:val="623B56C7"/>
    <w:rsid w:val="637A0D15"/>
    <w:rsid w:val="63887E93"/>
    <w:rsid w:val="64B47D45"/>
    <w:rsid w:val="64E35011"/>
    <w:rsid w:val="64FA606F"/>
    <w:rsid w:val="656F54E4"/>
    <w:rsid w:val="6588048C"/>
    <w:rsid w:val="66B26720"/>
    <w:rsid w:val="670D1063"/>
    <w:rsid w:val="67A43C26"/>
    <w:rsid w:val="686735D8"/>
    <w:rsid w:val="68EC2E2D"/>
    <w:rsid w:val="6A851E84"/>
    <w:rsid w:val="6D8E7082"/>
    <w:rsid w:val="6E492429"/>
    <w:rsid w:val="6F9815B3"/>
    <w:rsid w:val="706A4587"/>
    <w:rsid w:val="70BE6F38"/>
    <w:rsid w:val="70E46F2A"/>
    <w:rsid w:val="71257C6E"/>
    <w:rsid w:val="715458CE"/>
    <w:rsid w:val="719E17CE"/>
    <w:rsid w:val="71FD7D12"/>
    <w:rsid w:val="72001B41"/>
    <w:rsid w:val="72266C18"/>
    <w:rsid w:val="72946D2A"/>
    <w:rsid w:val="72B319B5"/>
    <w:rsid w:val="72F93721"/>
    <w:rsid w:val="73085DAB"/>
    <w:rsid w:val="73636FEB"/>
    <w:rsid w:val="736B62B7"/>
    <w:rsid w:val="736B64AD"/>
    <w:rsid w:val="73B963AB"/>
    <w:rsid w:val="73E81A66"/>
    <w:rsid w:val="74D35EE8"/>
    <w:rsid w:val="75305ADC"/>
    <w:rsid w:val="758D5DE2"/>
    <w:rsid w:val="75EB6C83"/>
    <w:rsid w:val="76FA58A3"/>
    <w:rsid w:val="782326D3"/>
    <w:rsid w:val="78EE303B"/>
    <w:rsid w:val="78F842E4"/>
    <w:rsid w:val="797A5CA3"/>
    <w:rsid w:val="7A3A5CE2"/>
    <w:rsid w:val="7A4A1E94"/>
    <w:rsid w:val="7CB60F13"/>
    <w:rsid w:val="7D124E1E"/>
    <w:rsid w:val="7DDF3EDA"/>
    <w:rsid w:val="7E0F0B32"/>
    <w:rsid w:val="7FF71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883" w:firstLineChars="200"/>
      <w:jc w:val="both"/>
    </w:pPr>
    <w:rPr>
      <w:rFonts w:ascii="Times New Roman" w:hAnsi="Times New Roman" w:eastAsia="宋体" w:cs="黑体"/>
      <w:kern w:val="2"/>
      <w:sz w:val="24"/>
      <w:szCs w:val="24"/>
      <w:lang w:val="en-US" w:eastAsia="zh-CN" w:bidi="ar-SA"/>
    </w:rPr>
  </w:style>
  <w:style w:type="paragraph" w:styleId="6">
    <w:name w:val="heading 1"/>
    <w:basedOn w:val="7"/>
    <w:next w:val="5"/>
    <w:link w:val="20"/>
    <w:qFormat/>
    <w:uiPriority w:val="99"/>
    <w:pPr>
      <w:spacing w:before="300" w:after="300" w:line="500" w:lineRule="exact"/>
      <w:jc w:val="both"/>
      <w:outlineLvl w:val="0"/>
    </w:pPr>
    <w:rPr>
      <w:rFonts w:ascii="宋体" w:hAnsi="宋体" w:eastAsia="宋体" w:cs="Times New Roman"/>
      <w:kern w:val="2"/>
      <w:sz w:val="32"/>
      <w:szCs w:val="30"/>
      <w:lang w:val="en-US" w:eastAsia="zh-CN" w:bidi="ar-SA"/>
    </w:rPr>
  </w:style>
  <w:style w:type="paragraph" w:styleId="5">
    <w:name w:val="heading 2"/>
    <w:basedOn w:val="6"/>
    <w:next w:val="4"/>
    <w:link w:val="19"/>
    <w:semiHidden/>
    <w:unhideWhenUsed/>
    <w:qFormat/>
    <w:uiPriority w:val="0"/>
    <w:pPr>
      <w:spacing w:before="240" w:after="240"/>
      <w:outlineLvl w:val="1"/>
    </w:pPr>
    <w:rPr>
      <w:sz w:val="30"/>
    </w:rPr>
  </w:style>
  <w:style w:type="paragraph" w:styleId="4">
    <w:name w:val="heading 3"/>
    <w:basedOn w:val="5"/>
    <w:next w:val="3"/>
    <w:link w:val="23"/>
    <w:semiHidden/>
    <w:unhideWhenUsed/>
    <w:qFormat/>
    <w:uiPriority w:val="0"/>
    <w:pPr>
      <w:spacing w:before="180" w:after="180" w:line="500" w:lineRule="exact"/>
      <w:outlineLvl w:val="2"/>
    </w:pPr>
    <w:rPr>
      <w:sz w:val="28"/>
      <w:szCs w:val="24"/>
    </w:rPr>
  </w:style>
  <w:style w:type="paragraph" w:styleId="3">
    <w:name w:val="heading 4"/>
    <w:basedOn w:val="4"/>
    <w:next w:val="1"/>
    <w:link w:val="24"/>
    <w:autoRedefine/>
    <w:semiHidden/>
    <w:unhideWhenUsed/>
    <w:qFormat/>
    <w:uiPriority w:val="0"/>
    <w:pPr>
      <w:keepNext/>
      <w:keepLines/>
      <w:spacing w:beforeLines="0" w:beforeAutospacing="0" w:afterLines="0" w:afterAutospacing="0" w:line="520" w:lineRule="exact"/>
      <w:ind w:firstLine="0" w:firstLineChars="0"/>
      <w:outlineLvl w:val="3"/>
    </w:pPr>
    <w:rPr>
      <w:rFonts w:ascii="Times New Roman" w:hAnsi="Times New Roman" w:eastAsia="宋体" w:cstheme="minorBidi"/>
      <w:bCs/>
      <w:kern w:val="44"/>
      <w:sz w:val="24"/>
      <w:szCs w:val="44"/>
    </w:rPr>
  </w:style>
  <w:style w:type="paragraph" w:styleId="8">
    <w:name w:val="heading 5"/>
    <w:basedOn w:val="3"/>
    <w:next w:val="1"/>
    <w:autoRedefine/>
    <w:semiHidden/>
    <w:unhideWhenUsed/>
    <w:qFormat/>
    <w:uiPriority w:val="0"/>
    <w:pPr>
      <w:keepNext/>
      <w:keepLines/>
      <w:spacing w:beforeLines="0" w:beforeAutospacing="0" w:afterLines="0" w:afterAutospacing="0" w:line="500" w:lineRule="exact"/>
      <w:outlineLvl w:val="4"/>
    </w:pPr>
    <w:rPr>
      <w:rFonts w:ascii="Times New Roman" w:hAnsi="Times New Roman" w:eastAsia="宋体"/>
      <w:sz w:val="24"/>
      <w:szCs w:val="24"/>
      <w:lang w:eastAsia="zh-CN"/>
    </w:rPr>
  </w:style>
  <w:style w:type="paragraph" w:styleId="9">
    <w:name w:val="heading 6"/>
    <w:basedOn w:val="8"/>
    <w:next w:val="1"/>
    <w:autoRedefine/>
    <w:semiHidden/>
    <w:unhideWhenUsed/>
    <w:qFormat/>
    <w:uiPriority w:val="0"/>
    <w:pPr>
      <w:keepNext/>
      <w:keepLines/>
      <w:spacing w:beforeLines="0" w:beforeAutospacing="0" w:afterLines="0" w:afterAutospacing="0" w:line="520" w:lineRule="exact"/>
      <w:ind w:firstLine="0" w:firstLineChars="0"/>
      <w:outlineLvl w:val="5"/>
    </w:pPr>
  </w:style>
  <w:style w:type="paragraph" w:styleId="10">
    <w:name w:val="heading 7"/>
    <w:basedOn w:val="9"/>
    <w:next w:val="1"/>
    <w:autoRedefine/>
    <w:semiHidden/>
    <w:unhideWhenUsed/>
    <w:qFormat/>
    <w:uiPriority w:val="0"/>
    <w:pPr>
      <w:keepNext/>
      <w:keepLines/>
      <w:spacing w:beforeLines="0" w:beforeAutospacing="0" w:afterLines="0" w:afterAutospacing="0" w:line="520" w:lineRule="exact"/>
      <w:outlineLvl w:val="6"/>
    </w:pPr>
    <w:rPr>
      <w:rFonts w:ascii="Times New Roman" w:hAnsi="Times New Roman" w:eastAsia="宋体" w:cs="Times New Roman"/>
    </w:rPr>
  </w:style>
  <w:style w:type="character" w:default="1" w:styleId="16">
    <w:name w:val="Default Paragraph Font"/>
    <w:link w:val="17"/>
    <w:unhideWhenUsed/>
    <w:qFormat/>
    <w:uiPriority w:val="1"/>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99"/>
    <w:pPr>
      <w:widowControl/>
      <w:spacing w:after="160" w:line="312" w:lineRule="auto"/>
      <w:ind w:firstLine="420" w:firstLineChars="200"/>
      <w:jc w:val="left"/>
    </w:pPr>
    <w:rPr>
      <w:kern w:val="0"/>
      <w:szCs w:val="21"/>
      <w:lang w:eastAsia="ja-JP"/>
    </w:rPr>
  </w:style>
  <w:style w:type="paragraph" w:styleId="7">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1">
    <w:name w:val="caption"/>
    <w:basedOn w:val="1"/>
    <w:next w:val="1"/>
    <w:link w:val="25"/>
    <w:semiHidden/>
    <w:unhideWhenUsed/>
    <w:qFormat/>
    <w:uiPriority w:val="0"/>
    <w:rPr>
      <w:rFonts w:ascii="Times New Roman" w:hAnsi="Times New Roman" w:eastAsia="宋体"/>
      <w:kern w:val="0"/>
      <w:sz w:val="24"/>
      <w:szCs w:val="20"/>
    </w:rPr>
  </w:style>
  <w:style w:type="paragraph" w:styleId="12">
    <w:name w:val="Body Text"/>
    <w:basedOn w:val="1"/>
    <w:next w:val="13"/>
    <w:qFormat/>
    <w:uiPriority w:val="0"/>
    <w:pPr>
      <w:snapToGrid w:val="0"/>
      <w:jc w:val="center"/>
    </w:pPr>
    <w:rPr>
      <w:rFonts w:ascii="Arial" w:hAnsi="Arial"/>
      <w:szCs w:val="20"/>
    </w:rPr>
  </w:style>
  <w:style w:type="paragraph" w:customStyle="1" w:styleId="13">
    <w:name w:val="默认段落"/>
    <w:qFormat/>
    <w:uiPriority w:val="0"/>
    <w:pPr>
      <w:widowControl w:val="0"/>
      <w:jc w:val="both"/>
    </w:pPr>
    <w:rPr>
      <w:rFonts w:ascii="Calibri" w:hAnsi="Calibri" w:eastAsia="宋体" w:cs="Times New Roman"/>
      <w:kern w:val="2"/>
      <w:sz w:val="21"/>
      <w:lang w:val="en-US" w:eastAsia="zh-CN" w:bidi="ar-SA"/>
    </w:rPr>
  </w:style>
  <w:style w:type="paragraph" w:styleId="14">
    <w:name w:val="Plain Text"/>
    <w:basedOn w:val="1"/>
    <w:autoRedefine/>
    <w:qFormat/>
    <w:uiPriority w:val="0"/>
    <w:pPr>
      <w:spacing w:line="480" w:lineRule="exact"/>
    </w:pPr>
    <w:rPr>
      <w:rFonts w:ascii="Times New Roman" w:hAnsi="Times New Roman" w:eastAsia="宋体" w:cs="Times New Roman"/>
      <w:sz w:val="24"/>
      <w:szCs w:val="21"/>
    </w:rPr>
  </w:style>
  <w:style w:type="paragraph" w:customStyle="1" w:styleId="17">
    <w:name w:val=" Char1"/>
    <w:basedOn w:val="1"/>
    <w:link w:val="16"/>
    <w:autoRedefine/>
    <w:qFormat/>
    <w:uiPriority w:val="0"/>
  </w:style>
  <w:style w:type="paragraph" w:customStyle="1" w:styleId="18">
    <w:name w:val=" Char11"/>
    <w:basedOn w:val="1"/>
    <w:link w:val="16"/>
    <w:autoRedefine/>
    <w:qFormat/>
    <w:uiPriority w:val="0"/>
  </w:style>
  <w:style w:type="character" w:customStyle="1" w:styleId="19">
    <w:name w:val="标题 2 字符"/>
    <w:basedOn w:val="16"/>
    <w:link w:val="5"/>
    <w:autoRedefine/>
    <w:qFormat/>
    <w:uiPriority w:val="9"/>
    <w:rPr>
      <w:rFonts w:hint="default" w:ascii="Times New Roman" w:hAnsi="Times New Roman" w:eastAsia="宋体" w:cs="Times New Roman"/>
      <w:b/>
      <w:bCs/>
      <w:sz w:val="30"/>
      <w:szCs w:val="24"/>
    </w:rPr>
  </w:style>
  <w:style w:type="character" w:customStyle="1" w:styleId="20">
    <w:name w:val="标题 1 Char"/>
    <w:basedOn w:val="16"/>
    <w:link w:val="6"/>
    <w:autoRedefine/>
    <w:qFormat/>
    <w:uiPriority w:val="0"/>
    <w:rPr>
      <w:rFonts w:ascii="宋体" w:hAnsi="宋体" w:eastAsia="宋体" w:cs="Times New Roman"/>
      <w:b/>
      <w:kern w:val="2"/>
      <w:sz w:val="32"/>
      <w:szCs w:val="30"/>
      <w:lang w:val="en-US" w:eastAsia="zh-CN" w:bidi="ar-SA"/>
    </w:rPr>
  </w:style>
  <w:style w:type="paragraph" w:customStyle="1" w:styleId="21">
    <w:name w:val="表目录"/>
    <w:basedOn w:val="1"/>
    <w:autoRedefine/>
    <w:qFormat/>
    <w:uiPriority w:val="0"/>
    <w:pPr>
      <w:tabs>
        <w:tab w:val="right" w:leader="dot" w:pos="8306"/>
      </w:tabs>
      <w:spacing w:line="480" w:lineRule="exact"/>
      <w:ind w:firstLine="0" w:firstLineChars="0"/>
      <w:jc w:val="center"/>
    </w:pPr>
    <w:rPr>
      <w:rFonts w:ascii="Times New Roman" w:hAnsi="Times New Roman" w:eastAsia="宋体" w:cs="Times New Roman"/>
      <w:b/>
      <w:sz w:val="24"/>
    </w:rPr>
  </w:style>
  <w:style w:type="paragraph" w:customStyle="1" w:styleId="22">
    <w:name w:val="图表标题"/>
    <w:basedOn w:val="1"/>
    <w:link w:val="26"/>
    <w:autoRedefine/>
    <w:qFormat/>
    <w:uiPriority w:val="0"/>
    <w:pPr>
      <w:spacing w:before="50" w:beforeLines="50" w:after="50" w:afterLines="50" w:line="240" w:lineRule="auto"/>
      <w:ind w:firstLine="0" w:firstLineChars="0"/>
      <w:jc w:val="center"/>
    </w:pPr>
    <w:rPr>
      <w:rFonts w:ascii="Times New Roman" w:hAnsi="Times New Roman" w:eastAsia="宋体"/>
      <w:b/>
      <w:kern w:val="0"/>
      <w:sz w:val="24"/>
      <w:szCs w:val="20"/>
    </w:rPr>
  </w:style>
  <w:style w:type="character" w:customStyle="1" w:styleId="23">
    <w:name w:val="标题 3 Char"/>
    <w:basedOn w:val="16"/>
    <w:link w:val="4"/>
    <w:qFormat/>
    <w:uiPriority w:val="0"/>
    <w:rPr>
      <w:rFonts w:ascii="宋体" w:hAnsi="宋体" w:eastAsia="宋体"/>
      <w:sz w:val="28"/>
      <w:szCs w:val="24"/>
    </w:rPr>
  </w:style>
  <w:style w:type="character" w:customStyle="1" w:styleId="24">
    <w:name w:val="Heading 4 Char"/>
    <w:basedOn w:val="16"/>
    <w:link w:val="3"/>
    <w:semiHidden/>
    <w:qFormat/>
    <w:locked/>
    <w:uiPriority w:val="99"/>
    <w:rPr>
      <w:rFonts w:ascii="Times New Roman" w:hAnsi="Times New Roman" w:eastAsia="宋体" w:cstheme="minorBidi"/>
      <w:bCs/>
      <w:snapToGrid w:val="0"/>
      <w:color w:val="000000"/>
      <w:kern w:val="44"/>
      <w:sz w:val="24"/>
      <w:szCs w:val="44"/>
      <w:highlight w:val="none"/>
      <w:lang w:val="en-US" w:eastAsia="en-US" w:bidi="ar"/>
    </w:rPr>
  </w:style>
  <w:style w:type="character" w:customStyle="1" w:styleId="25">
    <w:name w:val="题注 字符"/>
    <w:link w:val="11"/>
    <w:qFormat/>
    <w:locked/>
    <w:uiPriority w:val="35"/>
    <w:rPr>
      <w:rFonts w:ascii="Times New Roman" w:hAnsi="Times New Roman" w:eastAsia="宋体"/>
      <w:sz w:val="24"/>
    </w:rPr>
  </w:style>
  <w:style w:type="character" w:customStyle="1" w:styleId="26">
    <w:name w:val="图表标题 Char"/>
    <w:link w:val="22"/>
    <w:qFormat/>
    <w:uiPriority w:val="0"/>
    <w:rPr>
      <w:rFonts w:ascii="Times New Roman" w:hAnsi="Times New Roman" w:eastAsia="宋体"/>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2026-03-27T07:18:00Z</dcterms:created>
  <dc:creator>pugongyinggy</dc:creator>
  <cp:lastModifiedBy>pugongyinggy</cp:lastModifiedBy>
  <dcterms:modified xsi:type="dcterms:W3CDTF">2026-03-27T07:20:59Z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871100E61F9F40DABF4BADCD5D32C1D5_11</vt:lpwstr>
  </property>
  <property fmtid="{D5CDD505-2E9C-101B-9397-08002B2CF9AE}" pid="4" name="KSOTemplateDocerSaveRecord">
    <vt:lpwstr>eyJoZGlkIjoiMzU1YjBkNmMwNjAzYTEyZWRhNjEyOThhZjkxZjc2MzUiLCJ1c2VySWQiOiI0NTI5ODg5MDYifQ==</vt:lpwstr>
  </property>
</Properties>
</file>